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802A" w14:textId="2AB22F5B" w:rsidR="006854AB" w:rsidRDefault="006854AB">
      <w:pPr>
        <w:rPr>
          <w:rFonts w:ascii="Arial" w:hAnsi="Arial" w:cs="Arial"/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0CF82B7" wp14:editId="03D652F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4059" cy="620201"/>
            <wp:effectExtent l="0" t="0" r="0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59" cy="62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7BCC8" w14:textId="77777777" w:rsidR="006854AB" w:rsidRDefault="006854AB">
      <w:pPr>
        <w:rPr>
          <w:rFonts w:ascii="Arial" w:hAnsi="Arial" w:cs="Arial"/>
          <w:b/>
          <w:bCs/>
          <w:lang w:val="en-US"/>
        </w:rPr>
      </w:pPr>
    </w:p>
    <w:p w14:paraId="087BD447" w14:textId="77777777" w:rsidR="006854AB" w:rsidRDefault="006854AB">
      <w:pPr>
        <w:rPr>
          <w:rFonts w:ascii="Arial" w:hAnsi="Arial" w:cs="Arial"/>
          <w:b/>
          <w:bCs/>
          <w:lang w:val="en-US"/>
        </w:rPr>
      </w:pPr>
    </w:p>
    <w:p w14:paraId="58B8DAC1" w14:textId="47537304" w:rsidR="00744A32" w:rsidRPr="00D56B66" w:rsidRDefault="00897494" w:rsidP="00897494">
      <w:pPr>
        <w:spacing w:after="0"/>
        <w:rPr>
          <w:rFonts w:ascii="Arial" w:hAnsi="Arial" w:cs="Arial"/>
          <w:b/>
          <w:bCs/>
          <w:lang w:val="en-US"/>
        </w:rPr>
      </w:pPr>
      <w:r w:rsidRPr="00D56B66">
        <w:rPr>
          <w:rFonts w:ascii="Arial" w:hAnsi="Arial" w:cs="Arial"/>
          <w:b/>
          <w:bCs/>
          <w:lang w:val="en-US"/>
        </w:rPr>
        <w:t xml:space="preserve">Minutes of the Annual General Meeting of Members of the Institute of Chartered Secretaries &amp; Administrators in the United Kingdom, Republic of Ireland and Associated Territories held </w:t>
      </w:r>
      <w:r w:rsidR="00E87CD2">
        <w:rPr>
          <w:rFonts w:ascii="Arial" w:hAnsi="Arial" w:cs="Arial"/>
          <w:b/>
          <w:bCs/>
          <w:lang w:val="en-US"/>
        </w:rPr>
        <w:t>hybrid</w:t>
      </w:r>
      <w:r w:rsidRPr="00D56B66">
        <w:rPr>
          <w:rFonts w:ascii="Arial" w:hAnsi="Arial" w:cs="Arial"/>
          <w:b/>
          <w:bCs/>
          <w:lang w:val="en-US"/>
        </w:rPr>
        <w:t xml:space="preserve"> at </w:t>
      </w:r>
      <w:r w:rsidR="00E320D6">
        <w:rPr>
          <w:rFonts w:ascii="Arial" w:hAnsi="Arial" w:cs="Arial"/>
          <w:b/>
          <w:bCs/>
          <w:lang w:val="en-US"/>
        </w:rPr>
        <w:t>1</w:t>
      </w:r>
      <w:r w:rsidR="008739A6">
        <w:rPr>
          <w:rFonts w:ascii="Arial" w:hAnsi="Arial" w:cs="Arial"/>
          <w:b/>
          <w:bCs/>
          <w:lang w:val="en-US"/>
        </w:rPr>
        <w:t>7</w:t>
      </w:r>
      <w:r w:rsidR="00E320D6">
        <w:rPr>
          <w:rFonts w:ascii="Arial" w:hAnsi="Arial" w:cs="Arial"/>
          <w:b/>
          <w:bCs/>
          <w:lang w:val="en-US"/>
        </w:rPr>
        <w:t>.</w:t>
      </w:r>
      <w:r w:rsidR="008739A6">
        <w:rPr>
          <w:rFonts w:ascii="Arial" w:hAnsi="Arial" w:cs="Arial"/>
          <w:b/>
          <w:bCs/>
          <w:lang w:val="en-US"/>
        </w:rPr>
        <w:t>45</w:t>
      </w:r>
      <w:r w:rsidR="00EE62A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E62A8">
        <w:rPr>
          <w:rFonts w:ascii="Arial" w:hAnsi="Arial" w:cs="Arial"/>
          <w:b/>
          <w:bCs/>
          <w:lang w:val="en-US"/>
        </w:rPr>
        <w:t>hrs</w:t>
      </w:r>
      <w:proofErr w:type="spellEnd"/>
      <w:r w:rsidR="00EE62A8">
        <w:rPr>
          <w:rFonts w:ascii="Arial" w:hAnsi="Arial" w:cs="Arial"/>
          <w:b/>
          <w:bCs/>
          <w:lang w:val="en-US"/>
        </w:rPr>
        <w:t xml:space="preserve"> (GMT)</w:t>
      </w:r>
      <w:r w:rsidRPr="00D56B66">
        <w:rPr>
          <w:rFonts w:ascii="Arial" w:hAnsi="Arial" w:cs="Arial"/>
          <w:b/>
          <w:bCs/>
          <w:lang w:val="en-US"/>
        </w:rPr>
        <w:t xml:space="preserve"> on </w:t>
      </w:r>
      <w:r w:rsidR="00E87CD2">
        <w:rPr>
          <w:rFonts w:ascii="Arial" w:hAnsi="Arial" w:cs="Arial"/>
          <w:b/>
          <w:bCs/>
        </w:rPr>
        <w:t>Thursday</w:t>
      </w:r>
      <w:r w:rsidR="00EE62A8" w:rsidRPr="00EE62A8">
        <w:rPr>
          <w:rFonts w:ascii="Arial" w:hAnsi="Arial" w:cs="Arial"/>
          <w:b/>
          <w:bCs/>
        </w:rPr>
        <w:t>, 1</w:t>
      </w:r>
      <w:r w:rsidR="00E87CD2">
        <w:rPr>
          <w:rFonts w:ascii="Arial" w:hAnsi="Arial" w:cs="Arial"/>
          <w:b/>
          <w:bCs/>
        </w:rPr>
        <w:t>2</w:t>
      </w:r>
      <w:r w:rsidR="00EE62A8" w:rsidRPr="00EE62A8">
        <w:rPr>
          <w:rFonts w:ascii="Arial" w:hAnsi="Arial" w:cs="Arial"/>
          <w:b/>
          <w:bCs/>
        </w:rPr>
        <w:t xml:space="preserve"> March 202</w:t>
      </w:r>
      <w:r w:rsidR="00E87CD2">
        <w:rPr>
          <w:rFonts w:ascii="Arial" w:hAnsi="Arial" w:cs="Arial"/>
          <w:b/>
          <w:bCs/>
        </w:rPr>
        <w:t>6</w:t>
      </w:r>
    </w:p>
    <w:p w14:paraId="49596B82" w14:textId="77777777" w:rsidR="00897494" w:rsidRDefault="00897494" w:rsidP="00897494">
      <w:pPr>
        <w:spacing w:after="0"/>
        <w:rPr>
          <w:rFonts w:ascii="Arial" w:hAnsi="Arial" w:cs="Arial"/>
          <w:lang w:val="en-US"/>
        </w:rPr>
      </w:pPr>
    </w:p>
    <w:p w14:paraId="5FB633A4" w14:textId="6D6F7554" w:rsidR="00897494" w:rsidRPr="00897494" w:rsidRDefault="00897494" w:rsidP="0089749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897494">
        <w:rPr>
          <w:rFonts w:ascii="Arial" w:hAnsi="Arial" w:cs="Arial"/>
          <w:b/>
          <w:bCs/>
          <w:lang w:val="en-US"/>
        </w:rPr>
        <w:t>Introduction</w:t>
      </w:r>
    </w:p>
    <w:p w14:paraId="555EE645" w14:textId="1ABC3B3E" w:rsidR="009707DD" w:rsidRDefault="00CB04B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Ruairi Cosgrove</w:t>
      </w:r>
      <w:r w:rsidR="006854AB" w:rsidRPr="32F0B8DC">
        <w:rPr>
          <w:rFonts w:ascii="Arial" w:hAnsi="Arial" w:cs="Arial"/>
          <w:lang w:val="en-US"/>
        </w:rPr>
        <w:t>, CGIUKI President and Chair of the meeting welcomed</w:t>
      </w:r>
      <w:r w:rsidR="00744A32" w:rsidRPr="32F0B8DC">
        <w:rPr>
          <w:rFonts w:ascii="Arial" w:hAnsi="Arial" w:cs="Arial"/>
          <w:lang w:val="en-US"/>
        </w:rPr>
        <w:t xml:space="preserve"> those </w:t>
      </w:r>
      <w:r w:rsidR="2119E68B" w:rsidRPr="32F0B8DC">
        <w:rPr>
          <w:rFonts w:ascii="Arial" w:hAnsi="Arial" w:cs="Arial"/>
          <w:lang w:val="en-US"/>
        </w:rPr>
        <w:t>in attendance</w:t>
      </w:r>
      <w:r w:rsidR="00744A32" w:rsidRPr="32F0B8DC">
        <w:rPr>
          <w:rFonts w:ascii="Arial" w:hAnsi="Arial" w:cs="Arial"/>
          <w:lang w:val="en-US"/>
        </w:rPr>
        <w:t xml:space="preserve"> for joining the CGIUKI AGM</w:t>
      </w:r>
      <w:r w:rsidR="006854AB" w:rsidRPr="32F0B8DC">
        <w:rPr>
          <w:rFonts w:ascii="Arial" w:hAnsi="Arial" w:cs="Arial"/>
          <w:lang w:val="en-US"/>
        </w:rPr>
        <w:t xml:space="preserve"> </w:t>
      </w:r>
      <w:r w:rsidR="00D6783E" w:rsidRPr="32F0B8DC">
        <w:rPr>
          <w:rFonts w:ascii="Arial" w:hAnsi="Arial" w:cs="Arial"/>
          <w:lang w:val="en-US"/>
        </w:rPr>
        <w:t xml:space="preserve">in person and virtually through the </w:t>
      </w:r>
      <w:r w:rsidR="00216347">
        <w:rPr>
          <w:rFonts w:ascii="Arial" w:hAnsi="Arial" w:cs="Arial"/>
          <w:lang w:val="en-US"/>
        </w:rPr>
        <w:t>UK Engage</w:t>
      </w:r>
      <w:r w:rsidR="00D6783E" w:rsidRPr="32F0B8DC">
        <w:rPr>
          <w:rFonts w:ascii="Arial" w:hAnsi="Arial" w:cs="Arial"/>
          <w:lang w:val="en-US"/>
        </w:rPr>
        <w:t xml:space="preserve"> platform</w:t>
      </w:r>
      <w:r w:rsidR="00744A32" w:rsidRPr="32F0B8DC">
        <w:rPr>
          <w:rFonts w:ascii="Arial" w:hAnsi="Arial" w:cs="Arial"/>
          <w:lang w:val="en-US"/>
        </w:rPr>
        <w:t xml:space="preserve">. </w:t>
      </w:r>
    </w:p>
    <w:p w14:paraId="16C7480A" w14:textId="3583EE28" w:rsidR="009707DD" w:rsidRPr="009707DD" w:rsidRDefault="009707DD" w:rsidP="009707D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9707DD">
        <w:rPr>
          <w:rFonts w:ascii="Arial" w:hAnsi="Arial" w:cs="Arial"/>
          <w:b/>
          <w:bCs/>
          <w:lang w:val="en-US"/>
        </w:rPr>
        <w:t xml:space="preserve">Quorum </w:t>
      </w:r>
    </w:p>
    <w:p w14:paraId="368F4F61" w14:textId="7F87AC9C" w:rsidR="009707DD" w:rsidRDefault="52DF1550" w:rsidP="009707D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744A32">
        <w:rPr>
          <w:rFonts w:ascii="Arial" w:hAnsi="Arial" w:cs="Arial"/>
          <w:lang w:val="en-US"/>
        </w:rPr>
        <w:t xml:space="preserve">he AGM </w:t>
      </w:r>
      <w:r w:rsidR="00D56B66">
        <w:rPr>
          <w:rFonts w:ascii="Arial" w:hAnsi="Arial" w:cs="Arial"/>
          <w:lang w:val="en-US"/>
        </w:rPr>
        <w:t>quorum</w:t>
      </w:r>
      <w:r w:rsidR="009707DD">
        <w:rPr>
          <w:rFonts w:ascii="Arial" w:hAnsi="Arial" w:cs="Arial"/>
          <w:lang w:val="en-US"/>
        </w:rPr>
        <w:t xml:space="preserve"> was met with</w:t>
      </w:r>
      <w:r w:rsidR="009707DD" w:rsidRPr="009707DD">
        <w:rPr>
          <w:rFonts w:ascii="Arial" w:hAnsi="Arial" w:cs="Arial"/>
          <w:lang w:val="en-US"/>
        </w:rPr>
        <w:t xml:space="preserve"> </w:t>
      </w:r>
      <w:r w:rsidR="009707DD">
        <w:rPr>
          <w:rFonts w:ascii="Arial" w:hAnsi="Arial" w:cs="Arial"/>
          <w:lang w:val="en-US"/>
        </w:rPr>
        <w:t>the minimum of</w:t>
      </w:r>
      <w:r w:rsidR="009707DD" w:rsidRPr="009707DD">
        <w:rPr>
          <w:rFonts w:ascii="Arial" w:hAnsi="Arial" w:cs="Arial"/>
          <w:lang w:val="en-US"/>
        </w:rPr>
        <w:t xml:space="preserve"> </w:t>
      </w:r>
      <w:r w:rsidR="4BF97182" w:rsidRPr="009707DD">
        <w:rPr>
          <w:rFonts w:ascii="Arial" w:hAnsi="Arial" w:cs="Arial"/>
          <w:lang w:val="en-US"/>
        </w:rPr>
        <w:t>2</w:t>
      </w:r>
      <w:r w:rsidR="009707DD" w:rsidRPr="009707DD">
        <w:rPr>
          <w:rFonts w:ascii="Arial" w:hAnsi="Arial" w:cs="Arial"/>
          <w:lang w:val="en-US"/>
        </w:rPr>
        <w:t>0 members required under</w:t>
      </w:r>
      <w:r w:rsidR="6FDC71B9" w:rsidRPr="009707DD">
        <w:rPr>
          <w:rFonts w:ascii="Arial" w:hAnsi="Arial" w:cs="Arial"/>
          <w:lang w:val="en-US"/>
        </w:rPr>
        <w:t xml:space="preserve"> CGIUKI</w:t>
      </w:r>
      <w:r w:rsidR="009707DD" w:rsidRPr="009707DD">
        <w:rPr>
          <w:rFonts w:ascii="Arial" w:hAnsi="Arial" w:cs="Arial"/>
          <w:lang w:val="en-US"/>
        </w:rPr>
        <w:t xml:space="preserve"> Regulation 48.</w:t>
      </w:r>
    </w:p>
    <w:p w14:paraId="18C957BC" w14:textId="56ADE312" w:rsidR="009707DD" w:rsidRPr="009707DD" w:rsidRDefault="009707DD" w:rsidP="009707D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Report </w:t>
      </w:r>
      <w:proofErr w:type="gramStart"/>
      <w:r>
        <w:rPr>
          <w:rFonts w:ascii="Arial" w:hAnsi="Arial" w:cs="Arial"/>
          <w:b/>
          <w:bCs/>
          <w:lang w:val="en-US"/>
        </w:rPr>
        <w:t>of</w:t>
      </w:r>
      <w:proofErr w:type="gramEnd"/>
      <w:r>
        <w:rPr>
          <w:rFonts w:ascii="Arial" w:hAnsi="Arial" w:cs="Arial"/>
          <w:b/>
          <w:bCs/>
          <w:lang w:val="en-US"/>
        </w:rPr>
        <w:t xml:space="preserve"> CGIUKI Board</w:t>
      </w:r>
    </w:p>
    <w:p w14:paraId="06CF9D37" w14:textId="6350F9C1" w:rsidR="00744A32" w:rsidRDefault="009707DD" w:rsidP="32F0B8DC">
      <w:pPr>
        <w:rPr>
          <w:rFonts w:ascii="Arial" w:hAnsi="Arial" w:cs="Arial"/>
          <w:lang w:val="en-US"/>
        </w:rPr>
      </w:pPr>
      <w:r w:rsidRPr="32F0B8DC">
        <w:rPr>
          <w:rFonts w:ascii="Arial" w:hAnsi="Arial" w:cs="Arial"/>
          <w:lang w:val="en-US"/>
        </w:rPr>
        <w:t>The Chair</w:t>
      </w:r>
      <w:r w:rsidR="00744A32" w:rsidRPr="32F0B8DC">
        <w:rPr>
          <w:rFonts w:ascii="Arial" w:hAnsi="Arial" w:cs="Arial"/>
          <w:lang w:val="en-US"/>
        </w:rPr>
        <w:t xml:space="preserve"> introduced </w:t>
      </w:r>
      <w:r w:rsidR="00DD75C7">
        <w:rPr>
          <w:rFonts w:ascii="Arial" w:hAnsi="Arial" w:cs="Arial"/>
          <w:lang w:val="en-US"/>
        </w:rPr>
        <w:t>Linda Ford</w:t>
      </w:r>
      <w:r w:rsidR="006854AB" w:rsidRPr="32F0B8DC">
        <w:rPr>
          <w:rFonts w:ascii="Arial" w:hAnsi="Arial" w:cs="Arial"/>
          <w:lang w:val="en-US"/>
        </w:rPr>
        <w:t xml:space="preserve">, </w:t>
      </w:r>
      <w:r w:rsidR="00744A32" w:rsidRPr="32F0B8DC">
        <w:rPr>
          <w:rFonts w:ascii="Arial" w:hAnsi="Arial" w:cs="Arial"/>
          <w:lang w:val="en-US"/>
        </w:rPr>
        <w:t xml:space="preserve">Chief Executive, </w:t>
      </w:r>
      <w:r w:rsidR="00D6783E" w:rsidRPr="32F0B8DC">
        <w:rPr>
          <w:rFonts w:ascii="Arial" w:hAnsi="Arial" w:cs="Arial"/>
          <w:lang w:val="en-US"/>
        </w:rPr>
        <w:t xml:space="preserve">Simon Alsop, Finance Director and Cynthia Mora-Spencer, Head of Secretariat. </w:t>
      </w:r>
    </w:p>
    <w:p w14:paraId="3008B4AC" w14:textId="0F1DB9E1" w:rsidR="00744A32" w:rsidRDefault="00744A32" w:rsidP="32F0B8DC">
      <w:pPr>
        <w:rPr>
          <w:rFonts w:ascii="Arial" w:hAnsi="Arial" w:cs="Arial"/>
          <w:lang w:val="en-US"/>
        </w:rPr>
      </w:pPr>
      <w:r w:rsidRPr="32F0B8DC">
        <w:rPr>
          <w:rFonts w:ascii="Arial" w:hAnsi="Arial" w:cs="Arial"/>
          <w:lang w:val="en-US"/>
        </w:rPr>
        <w:t xml:space="preserve">Questions were open for members to </w:t>
      </w:r>
      <w:r w:rsidR="006854AB" w:rsidRPr="32F0B8DC">
        <w:rPr>
          <w:rFonts w:ascii="Arial" w:hAnsi="Arial" w:cs="Arial"/>
          <w:lang w:val="en-US"/>
        </w:rPr>
        <w:t>submit,</w:t>
      </w:r>
      <w:r w:rsidRPr="32F0B8DC">
        <w:rPr>
          <w:rFonts w:ascii="Arial" w:hAnsi="Arial" w:cs="Arial"/>
          <w:lang w:val="en-US"/>
        </w:rPr>
        <w:t xml:space="preserve"> and the</w:t>
      </w:r>
      <w:r w:rsidR="006854AB" w:rsidRPr="32F0B8DC">
        <w:rPr>
          <w:rFonts w:ascii="Arial" w:hAnsi="Arial" w:cs="Arial"/>
          <w:lang w:val="en-US"/>
        </w:rPr>
        <w:t xml:space="preserve"> Chair advised that they</w:t>
      </w:r>
      <w:r w:rsidRPr="32F0B8DC">
        <w:rPr>
          <w:rFonts w:ascii="Arial" w:hAnsi="Arial" w:cs="Arial"/>
          <w:lang w:val="en-US"/>
        </w:rPr>
        <w:t xml:space="preserve"> would be answered </w:t>
      </w:r>
      <w:r w:rsidR="006854AB" w:rsidRPr="32F0B8DC">
        <w:rPr>
          <w:rFonts w:ascii="Arial" w:hAnsi="Arial" w:cs="Arial"/>
          <w:lang w:val="en-US"/>
        </w:rPr>
        <w:t xml:space="preserve">when the Q&amp;A session was opened later in the meeting. If </w:t>
      </w:r>
      <w:proofErr w:type="gramStart"/>
      <w:r w:rsidR="3C8FFA61" w:rsidRPr="32F0B8DC">
        <w:rPr>
          <w:rFonts w:ascii="Arial" w:hAnsi="Arial" w:cs="Arial"/>
          <w:lang w:val="en-US"/>
        </w:rPr>
        <w:t>not</w:t>
      </w:r>
      <w:proofErr w:type="gramEnd"/>
      <w:r w:rsidR="006854AB" w:rsidRPr="32F0B8DC">
        <w:rPr>
          <w:rFonts w:ascii="Arial" w:hAnsi="Arial" w:cs="Arial"/>
          <w:lang w:val="en-US"/>
        </w:rPr>
        <w:t xml:space="preserve"> all questions </w:t>
      </w:r>
      <w:r w:rsidR="6B8902AB" w:rsidRPr="32F0B8DC">
        <w:rPr>
          <w:rFonts w:ascii="Arial" w:hAnsi="Arial" w:cs="Arial"/>
          <w:lang w:val="en-US"/>
        </w:rPr>
        <w:t xml:space="preserve">could be answered </w:t>
      </w:r>
      <w:r w:rsidR="006854AB" w:rsidRPr="32F0B8DC">
        <w:rPr>
          <w:rFonts w:ascii="Arial" w:hAnsi="Arial" w:cs="Arial"/>
          <w:lang w:val="en-US"/>
        </w:rPr>
        <w:t xml:space="preserve">today, they would be answered </w:t>
      </w:r>
      <w:r w:rsidRPr="32F0B8DC">
        <w:rPr>
          <w:rFonts w:ascii="Arial" w:hAnsi="Arial" w:cs="Arial"/>
          <w:lang w:val="en-US"/>
        </w:rPr>
        <w:t xml:space="preserve">within 48 hours </w:t>
      </w:r>
      <w:r w:rsidR="006854AB" w:rsidRPr="32F0B8DC">
        <w:rPr>
          <w:rFonts w:ascii="Arial" w:hAnsi="Arial" w:cs="Arial"/>
          <w:lang w:val="en-US"/>
        </w:rPr>
        <w:t xml:space="preserve">and answers posted </w:t>
      </w:r>
      <w:r w:rsidRPr="32F0B8DC">
        <w:rPr>
          <w:rFonts w:ascii="Arial" w:hAnsi="Arial" w:cs="Arial"/>
          <w:lang w:val="en-US"/>
        </w:rPr>
        <w:t xml:space="preserve">on the CGIUKI website. </w:t>
      </w:r>
    </w:p>
    <w:p w14:paraId="6D92579C" w14:textId="719235A1" w:rsidR="00744A32" w:rsidRDefault="00744A32" w:rsidP="32F0B8DC">
      <w:pPr>
        <w:rPr>
          <w:rFonts w:ascii="Arial" w:hAnsi="Arial" w:cs="Arial"/>
          <w:lang w:val="en-US"/>
        </w:rPr>
      </w:pPr>
      <w:r w:rsidRPr="32F0B8DC">
        <w:rPr>
          <w:rFonts w:ascii="Arial" w:hAnsi="Arial" w:cs="Arial"/>
          <w:lang w:val="en-US"/>
        </w:rPr>
        <w:t xml:space="preserve">The </w:t>
      </w:r>
      <w:r w:rsidR="006854AB" w:rsidRPr="32F0B8DC">
        <w:rPr>
          <w:rFonts w:ascii="Arial" w:hAnsi="Arial" w:cs="Arial"/>
          <w:lang w:val="en-US"/>
        </w:rPr>
        <w:t xml:space="preserve">Chair reminded members attending that the </w:t>
      </w:r>
      <w:r w:rsidRPr="32F0B8DC">
        <w:rPr>
          <w:rFonts w:ascii="Arial" w:hAnsi="Arial" w:cs="Arial"/>
          <w:lang w:val="en-US"/>
        </w:rPr>
        <w:t xml:space="preserve">notice of the AGM had been sent to members </w:t>
      </w:r>
      <w:r w:rsidR="00BF7F29">
        <w:rPr>
          <w:rFonts w:ascii="Arial" w:hAnsi="Arial" w:cs="Arial"/>
          <w:lang w:val="en-US"/>
        </w:rPr>
        <w:t xml:space="preserve">on </w:t>
      </w:r>
      <w:r w:rsidR="00E0738F">
        <w:rPr>
          <w:rFonts w:ascii="Arial" w:hAnsi="Arial" w:cs="Arial"/>
          <w:lang w:val="en-US"/>
        </w:rPr>
        <w:t xml:space="preserve">Tuesday 10 </w:t>
      </w:r>
      <w:r w:rsidR="00BF7F29">
        <w:rPr>
          <w:rFonts w:ascii="Arial" w:hAnsi="Arial" w:cs="Arial"/>
          <w:lang w:val="en-US"/>
        </w:rPr>
        <w:t>February 202</w:t>
      </w:r>
      <w:r w:rsidR="00E0738F">
        <w:rPr>
          <w:rFonts w:ascii="Arial" w:hAnsi="Arial" w:cs="Arial"/>
          <w:lang w:val="en-US"/>
        </w:rPr>
        <w:t>6</w:t>
      </w:r>
      <w:r w:rsidR="68854E88" w:rsidRPr="32F0B8DC">
        <w:rPr>
          <w:rFonts w:ascii="Arial" w:hAnsi="Arial" w:cs="Arial"/>
          <w:lang w:val="en-US"/>
        </w:rPr>
        <w:t xml:space="preserve"> </w:t>
      </w:r>
      <w:r w:rsidRPr="32F0B8DC">
        <w:rPr>
          <w:rFonts w:ascii="Arial" w:hAnsi="Arial" w:cs="Arial"/>
          <w:lang w:val="en-US"/>
        </w:rPr>
        <w:t xml:space="preserve">and was posted on the website </w:t>
      </w:r>
      <w:r w:rsidR="6FFD4FE7" w:rsidRPr="32F0B8DC">
        <w:rPr>
          <w:rFonts w:ascii="Arial" w:hAnsi="Arial" w:cs="Arial"/>
          <w:lang w:val="en-US"/>
        </w:rPr>
        <w:t xml:space="preserve">immediately after. </w:t>
      </w:r>
    </w:p>
    <w:p w14:paraId="1C5F5F3F" w14:textId="094B3BCE" w:rsidR="006854AB" w:rsidRDefault="006854AB">
      <w:pPr>
        <w:rPr>
          <w:rFonts w:ascii="Arial" w:hAnsi="Arial" w:cs="Arial"/>
          <w:lang w:val="en-US"/>
        </w:rPr>
      </w:pPr>
      <w:r w:rsidRPr="32F0B8DC">
        <w:rPr>
          <w:rFonts w:ascii="Arial" w:hAnsi="Arial" w:cs="Arial"/>
          <w:lang w:val="en-US"/>
        </w:rPr>
        <w:t xml:space="preserve">The Head of Secretariat </w:t>
      </w:r>
      <w:r w:rsidR="00744A32" w:rsidRPr="32F0B8DC">
        <w:rPr>
          <w:rFonts w:ascii="Arial" w:hAnsi="Arial" w:cs="Arial"/>
          <w:lang w:val="en-US"/>
        </w:rPr>
        <w:t xml:space="preserve">explained the procedure for voting on </w:t>
      </w:r>
      <w:r w:rsidR="0016249D">
        <w:rPr>
          <w:rFonts w:ascii="Arial" w:hAnsi="Arial" w:cs="Arial"/>
          <w:lang w:val="en-US"/>
        </w:rPr>
        <w:t>two</w:t>
      </w:r>
      <w:r w:rsidR="00744A32" w:rsidRPr="32F0B8DC">
        <w:rPr>
          <w:rFonts w:ascii="Arial" w:hAnsi="Arial" w:cs="Arial"/>
          <w:lang w:val="en-US"/>
        </w:rPr>
        <w:t xml:space="preserve"> </w:t>
      </w:r>
      <w:r w:rsidR="3B863099" w:rsidRPr="32F0B8DC">
        <w:rPr>
          <w:rFonts w:ascii="Arial" w:hAnsi="Arial" w:cs="Arial"/>
          <w:lang w:val="en-US"/>
        </w:rPr>
        <w:t>resolutions</w:t>
      </w:r>
      <w:r w:rsidR="00744A32" w:rsidRPr="32F0B8DC">
        <w:rPr>
          <w:rFonts w:ascii="Arial" w:hAnsi="Arial" w:cs="Arial"/>
          <w:lang w:val="en-US"/>
        </w:rPr>
        <w:t xml:space="preserve"> put forward </w:t>
      </w:r>
      <w:r w:rsidRPr="32F0B8DC">
        <w:rPr>
          <w:rFonts w:ascii="Arial" w:hAnsi="Arial" w:cs="Arial"/>
          <w:lang w:val="en-US"/>
        </w:rPr>
        <w:t xml:space="preserve">for approval at this AGM: </w:t>
      </w:r>
    </w:p>
    <w:p w14:paraId="5CE1C052" w14:textId="5BBF20B8" w:rsidR="006F1831" w:rsidRDefault="006F1831" w:rsidP="006854A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6F1831">
        <w:rPr>
          <w:rFonts w:ascii="Arial" w:hAnsi="Arial" w:cs="Arial"/>
          <w:lang w:val="en-US"/>
        </w:rPr>
        <w:t>To receive and consider the annual report and financial statements for the year ended 30 June 202</w:t>
      </w:r>
      <w:r w:rsidR="004F5643">
        <w:rPr>
          <w:rFonts w:ascii="Arial" w:hAnsi="Arial" w:cs="Arial"/>
          <w:lang w:val="en-US"/>
        </w:rPr>
        <w:t>5</w:t>
      </w:r>
      <w:r w:rsidRPr="006F1831">
        <w:rPr>
          <w:rFonts w:ascii="Arial" w:hAnsi="Arial" w:cs="Arial"/>
          <w:lang w:val="en-US"/>
        </w:rPr>
        <w:t xml:space="preserve">. </w:t>
      </w:r>
    </w:p>
    <w:p w14:paraId="75F8440C" w14:textId="495DA093" w:rsidR="008A16B3" w:rsidRDefault="006854AB" w:rsidP="006854AB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6854AB">
        <w:rPr>
          <w:rFonts w:ascii="Arial" w:hAnsi="Arial" w:cs="Arial"/>
          <w:lang w:val="en-US"/>
        </w:rPr>
        <w:t xml:space="preserve">To </w:t>
      </w:r>
      <w:r w:rsidR="00BF7F29">
        <w:rPr>
          <w:rFonts w:ascii="Arial" w:hAnsi="Arial" w:cs="Arial"/>
          <w:lang w:val="en-US"/>
        </w:rPr>
        <w:t>re-</w:t>
      </w:r>
      <w:r w:rsidR="00744A32" w:rsidRPr="006854AB">
        <w:rPr>
          <w:rFonts w:ascii="Arial" w:hAnsi="Arial" w:cs="Arial"/>
          <w:lang w:val="en-US"/>
        </w:rPr>
        <w:t xml:space="preserve">appoint the external auditors, </w:t>
      </w:r>
      <w:r w:rsidR="0016249D">
        <w:rPr>
          <w:rFonts w:ascii="Arial" w:hAnsi="Arial" w:cs="Arial"/>
          <w:lang w:val="en-US"/>
        </w:rPr>
        <w:t>Sayer Vincent</w:t>
      </w:r>
      <w:r w:rsidR="00744A32" w:rsidRPr="006854AB">
        <w:rPr>
          <w:rFonts w:ascii="Arial" w:hAnsi="Arial" w:cs="Arial"/>
          <w:lang w:val="en-US"/>
        </w:rPr>
        <w:t xml:space="preserve"> LLP</w:t>
      </w:r>
      <w:r w:rsidRPr="006854AB">
        <w:rPr>
          <w:rFonts w:ascii="Arial" w:hAnsi="Arial" w:cs="Arial"/>
          <w:lang w:val="en-US"/>
        </w:rPr>
        <w:t xml:space="preserve"> and </w:t>
      </w:r>
      <w:proofErr w:type="spellStart"/>
      <w:r w:rsidRPr="006854AB">
        <w:rPr>
          <w:rFonts w:ascii="Arial" w:hAnsi="Arial" w:cs="Arial"/>
          <w:lang w:val="en-US"/>
        </w:rPr>
        <w:t>authori</w:t>
      </w:r>
      <w:r w:rsidR="006F1831">
        <w:rPr>
          <w:rFonts w:ascii="Arial" w:hAnsi="Arial" w:cs="Arial"/>
          <w:lang w:val="en-US"/>
        </w:rPr>
        <w:t>s</w:t>
      </w:r>
      <w:r w:rsidRPr="006854AB">
        <w:rPr>
          <w:rFonts w:ascii="Arial" w:hAnsi="Arial" w:cs="Arial"/>
          <w:lang w:val="en-US"/>
        </w:rPr>
        <w:t>e</w:t>
      </w:r>
      <w:proofErr w:type="spellEnd"/>
      <w:r w:rsidRPr="006854AB">
        <w:rPr>
          <w:rFonts w:ascii="Arial" w:hAnsi="Arial" w:cs="Arial"/>
          <w:lang w:val="en-US"/>
        </w:rPr>
        <w:t xml:space="preserve"> the CGIUKI Board to set their fees</w:t>
      </w:r>
      <w:r w:rsidR="00744A32" w:rsidRPr="006854AB">
        <w:rPr>
          <w:rFonts w:ascii="Arial" w:hAnsi="Arial" w:cs="Arial"/>
          <w:lang w:val="en-US"/>
        </w:rPr>
        <w:t xml:space="preserve">. </w:t>
      </w:r>
    </w:p>
    <w:p w14:paraId="266BA30E" w14:textId="7C5C04BF" w:rsidR="000343C8" w:rsidRDefault="009707DD">
      <w:pPr>
        <w:rPr>
          <w:rFonts w:ascii="Arial" w:hAnsi="Arial" w:cs="Arial"/>
          <w:lang w:val="en-US"/>
        </w:rPr>
      </w:pPr>
      <w:r w:rsidRPr="7F44DE12">
        <w:rPr>
          <w:rFonts w:ascii="Arial" w:hAnsi="Arial" w:cs="Arial"/>
          <w:lang w:val="en-US"/>
        </w:rPr>
        <w:t>The Chair</w:t>
      </w:r>
      <w:r w:rsidR="008A16B3" w:rsidRPr="7F44DE12">
        <w:rPr>
          <w:rFonts w:ascii="Arial" w:hAnsi="Arial" w:cs="Arial"/>
          <w:lang w:val="en-US"/>
        </w:rPr>
        <w:t xml:space="preserve"> provided an update o</w:t>
      </w:r>
      <w:r w:rsidR="002F7688" w:rsidRPr="7F44DE12">
        <w:rPr>
          <w:rFonts w:ascii="Arial" w:hAnsi="Arial" w:cs="Arial"/>
          <w:lang w:val="en-US"/>
        </w:rPr>
        <w:t xml:space="preserve">n </w:t>
      </w:r>
      <w:r w:rsidR="008A16B3" w:rsidRPr="7F44DE12">
        <w:rPr>
          <w:rFonts w:ascii="Arial" w:hAnsi="Arial" w:cs="Arial"/>
          <w:lang w:val="en-US"/>
        </w:rPr>
        <w:t>the a</w:t>
      </w:r>
      <w:r w:rsidR="002F7688" w:rsidRPr="7F44DE12">
        <w:rPr>
          <w:rFonts w:ascii="Arial" w:hAnsi="Arial" w:cs="Arial"/>
          <w:lang w:val="en-US"/>
        </w:rPr>
        <w:t>ctivities</w:t>
      </w:r>
      <w:r w:rsidR="008A16B3" w:rsidRPr="7F44DE12">
        <w:rPr>
          <w:rFonts w:ascii="Arial" w:hAnsi="Arial" w:cs="Arial"/>
          <w:lang w:val="en-US"/>
        </w:rPr>
        <w:t xml:space="preserve"> of CGIUKI in 202</w:t>
      </w:r>
      <w:r w:rsidR="00C44B07" w:rsidRPr="7F44DE12">
        <w:rPr>
          <w:rFonts w:ascii="Arial" w:hAnsi="Arial" w:cs="Arial"/>
          <w:lang w:val="en-US"/>
        </w:rPr>
        <w:t>4</w:t>
      </w:r>
      <w:r w:rsidR="008A16B3" w:rsidRPr="7F44DE12">
        <w:rPr>
          <w:rFonts w:ascii="Arial" w:hAnsi="Arial" w:cs="Arial"/>
          <w:lang w:val="en-US"/>
        </w:rPr>
        <w:t>/2</w:t>
      </w:r>
      <w:r w:rsidR="00C44B07" w:rsidRPr="7F44DE12">
        <w:rPr>
          <w:rFonts w:ascii="Arial" w:hAnsi="Arial" w:cs="Arial"/>
          <w:lang w:val="en-US"/>
        </w:rPr>
        <w:t>5</w:t>
      </w:r>
      <w:r w:rsidR="00085933" w:rsidRPr="7F44DE12">
        <w:rPr>
          <w:rFonts w:ascii="Arial" w:hAnsi="Arial" w:cs="Arial"/>
          <w:lang w:val="en-US"/>
        </w:rPr>
        <w:t xml:space="preserve">. </w:t>
      </w:r>
      <w:r w:rsidR="00BF7F29" w:rsidRPr="7F44DE12">
        <w:rPr>
          <w:rFonts w:ascii="Arial" w:hAnsi="Arial" w:cs="Arial"/>
          <w:lang w:val="en-US"/>
        </w:rPr>
        <w:t xml:space="preserve">Trust </w:t>
      </w:r>
      <w:r w:rsidR="00897B64" w:rsidRPr="7F44DE12">
        <w:rPr>
          <w:rFonts w:ascii="Arial" w:hAnsi="Arial" w:cs="Arial"/>
          <w:lang w:val="en-US"/>
        </w:rPr>
        <w:t xml:space="preserve">in institutions </w:t>
      </w:r>
      <w:r w:rsidR="008C1218" w:rsidRPr="7F44DE12">
        <w:rPr>
          <w:rFonts w:ascii="Arial" w:hAnsi="Arial" w:cs="Arial"/>
          <w:lang w:val="en-US"/>
        </w:rPr>
        <w:t xml:space="preserve">was </w:t>
      </w:r>
      <w:r w:rsidR="00632B5B" w:rsidRPr="7F44DE12">
        <w:rPr>
          <w:rFonts w:ascii="Arial" w:hAnsi="Arial" w:cs="Arial"/>
          <w:lang w:val="en-US"/>
        </w:rPr>
        <w:t>under</w:t>
      </w:r>
      <w:r w:rsidR="00897B64" w:rsidRPr="7F44DE12">
        <w:rPr>
          <w:rFonts w:ascii="Arial" w:hAnsi="Arial" w:cs="Arial"/>
          <w:lang w:val="en-US"/>
        </w:rPr>
        <w:t xml:space="preserve"> strain</w:t>
      </w:r>
      <w:r w:rsidR="003A4E21" w:rsidRPr="7F44DE12">
        <w:rPr>
          <w:rFonts w:ascii="Arial" w:hAnsi="Arial" w:cs="Arial"/>
          <w:lang w:val="en-US"/>
        </w:rPr>
        <w:t xml:space="preserve">, </w:t>
      </w:r>
      <w:r w:rsidR="008C1218" w:rsidRPr="7F44DE12">
        <w:rPr>
          <w:rFonts w:ascii="Arial" w:hAnsi="Arial" w:cs="Arial"/>
          <w:lang w:val="en-US"/>
        </w:rPr>
        <w:t xml:space="preserve">there was </w:t>
      </w:r>
      <w:r w:rsidR="00E807DF" w:rsidRPr="7F44DE12">
        <w:rPr>
          <w:rFonts w:ascii="Arial" w:hAnsi="Arial" w:cs="Arial"/>
          <w:lang w:val="en-US"/>
        </w:rPr>
        <w:t xml:space="preserve">fragile </w:t>
      </w:r>
      <w:r w:rsidR="003A4E21" w:rsidRPr="7F44DE12">
        <w:rPr>
          <w:rFonts w:ascii="Arial" w:hAnsi="Arial" w:cs="Arial"/>
          <w:lang w:val="en-US"/>
        </w:rPr>
        <w:t>public confidence in political leaders</w:t>
      </w:r>
      <w:r w:rsidR="00632B5B" w:rsidRPr="7F44DE12">
        <w:rPr>
          <w:rFonts w:ascii="Arial" w:hAnsi="Arial" w:cs="Arial"/>
          <w:lang w:val="en-US"/>
        </w:rPr>
        <w:t>,</w:t>
      </w:r>
      <w:r w:rsidR="00897B64" w:rsidRPr="7F44DE12">
        <w:rPr>
          <w:rFonts w:ascii="Arial" w:hAnsi="Arial" w:cs="Arial"/>
          <w:lang w:val="en-US"/>
        </w:rPr>
        <w:t xml:space="preserve"> </w:t>
      </w:r>
      <w:r w:rsidR="00EE56C4" w:rsidRPr="7F44DE12">
        <w:rPr>
          <w:rFonts w:ascii="Arial" w:hAnsi="Arial" w:cs="Arial"/>
          <w:lang w:val="en-US"/>
        </w:rPr>
        <w:t>economic headwinds continu</w:t>
      </w:r>
      <w:r w:rsidR="008C1218" w:rsidRPr="7F44DE12">
        <w:rPr>
          <w:rFonts w:ascii="Arial" w:hAnsi="Arial" w:cs="Arial"/>
          <w:lang w:val="en-US"/>
        </w:rPr>
        <w:t>ed</w:t>
      </w:r>
      <w:r w:rsidR="00EE56C4" w:rsidRPr="7F44DE12">
        <w:rPr>
          <w:rFonts w:ascii="Arial" w:hAnsi="Arial" w:cs="Arial"/>
          <w:lang w:val="en-US"/>
        </w:rPr>
        <w:t xml:space="preserve"> to affect organisations across every sector</w:t>
      </w:r>
      <w:r w:rsidR="00D41E20" w:rsidRPr="7F44DE12">
        <w:rPr>
          <w:rFonts w:ascii="Arial" w:hAnsi="Arial" w:cs="Arial"/>
          <w:lang w:val="en-US"/>
        </w:rPr>
        <w:t xml:space="preserve"> and g</w:t>
      </w:r>
      <w:r w:rsidR="00E83D3A" w:rsidRPr="7F44DE12">
        <w:rPr>
          <w:rFonts w:ascii="Arial" w:hAnsi="Arial" w:cs="Arial"/>
          <w:lang w:val="en-US"/>
        </w:rPr>
        <w:t>lobal uncertainty persist</w:t>
      </w:r>
      <w:r w:rsidR="008C1218" w:rsidRPr="7F44DE12">
        <w:rPr>
          <w:rFonts w:ascii="Arial" w:hAnsi="Arial" w:cs="Arial"/>
          <w:lang w:val="en-US"/>
        </w:rPr>
        <w:t>ed</w:t>
      </w:r>
      <w:r w:rsidR="00D41E20" w:rsidRPr="7F44DE12">
        <w:rPr>
          <w:rFonts w:ascii="Arial" w:hAnsi="Arial" w:cs="Arial"/>
          <w:lang w:val="en-US"/>
        </w:rPr>
        <w:t>.</w:t>
      </w:r>
      <w:r w:rsidR="00117E8A" w:rsidRPr="7F44DE12">
        <w:rPr>
          <w:rFonts w:ascii="Arial" w:hAnsi="Arial" w:cs="Arial"/>
          <w:lang w:val="en-US"/>
        </w:rPr>
        <w:t xml:space="preserve"> </w:t>
      </w:r>
      <w:r w:rsidR="008D5B2F" w:rsidRPr="7F44DE12">
        <w:rPr>
          <w:rFonts w:ascii="Arial" w:hAnsi="Arial" w:cs="Arial"/>
          <w:lang w:val="en-US"/>
        </w:rPr>
        <w:t>It was a time of r</w:t>
      </w:r>
      <w:r w:rsidR="000343C8" w:rsidRPr="7F44DE12">
        <w:rPr>
          <w:rFonts w:ascii="Arial" w:hAnsi="Arial" w:cs="Arial"/>
          <w:lang w:val="en-US"/>
        </w:rPr>
        <w:t>apid technological change, with A</w:t>
      </w:r>
      <w:r w:rsidR="008D5B2F" w:rsidRPr="7F44DE12">
        <w:rPr>
          <w:rFonts w:ascii="Arial" w:hAnsi="Arial" w:cs="Arial"/>
          <w:lang w:val="en-US"/>
        </w:rPr>
        <w:t>.</w:t>
      </w:r>
      <w:r w:rsidR="000343C8" w:rsidRPr="7F44DE12">
        <w:rPr>
          <w:rFonts w:ascii="Arial" w:hAnsi="Arial" w:cs="Arial"/>
          <w:lang w:val="en-US"/>
        </w:rPr>
        <w:t xml:space="preserve">I </w:t>
      </w:r>
      <w:proofErr w:type="gramStart"/>
      <w:r w:rsidR="000343C8" w:rsidRPr="7F44DE12">
        <w:rPr>
          <w:rFonts w:ascii="Arial" w:hAnsi="Arial" w:cs="Arial"/>
          <w:lang w:val="en-US"/>
        </w:rPr>
        <w:t>reshaping</w:t>
      </w:r>
      <w:proofErr w:type="gramEnd"/>
      <w:r w:rsidR="000343C8" w:rsidRPr="7F44DE12">
        <w:rPr>
          <w:rFonts w:ascii="Arial" w:hAnsi="Arial" w:cs="Arial"/>
          <w:lang w:val="en-US"/>
        </w:rPr>
        <w:t xml:space="preserve"> organisations, skills and expectations. </w:t>
      </w:r>
      <w:r w:rsidR="000215A8" w:rsidRPr="7F44DE12">
        <w:rPr>
          <w:rFonts w:ascii="Arial" w:hAnsi="Arial" w:cs="Arial"/>
          <w:lang w:val="en-US"/>
        </w:rPr>
        <w:t>All these factors reinforce</w:t>
      </w:r>
      <w:r w:rsidR="6B90950F" w:rsidRPr="7F44DE12">
        <w:rPr>
          <w:rFonts w:ascii="Arial" w:hAnsi="Arial" w:cs="Arial"/>
          <w:lang w:val="en-US"/>
        </w:rPr>
        <w:t>d</w:t>
      </w:r>
      <w:r w:rsidR="000215A8" w:rsidRPr="7F44DE12">
        <w:rPr>
          <w:rFonts w:ascii="Arial" w:hAnsi="Arial" w:cs="Arial"/>
          <w:lang w:val="en-US"/>
        </w:rPr>
        <w:t xml:space="preserve"> the </w:t>
      </w:r>
      <w:r w:rsidR="00950A2F" w:rsidRPr="7F44DE12">
        <w:rPr>
          <w:rFonts w:ascii="Arial" w:hAnsi="Arial" w:cs="Arial"/>
          <w:lang w:val="en-US"/>
        </w:rPr>
        <w:t>CGIUKI</w:t>
      </w:r>
      <w:r w:rsidR="000215A8" w:rsidRPr="7F44DE12">
        <w:rPr>
          <w:rFonts w:ascii="Arial" w:hAnsi="Arial" w:cs="Arial"/>
          <w:lang w:val="en-US"/>
        </w:rPr>
        <w:t>’s purpose to support governance professionals and champion good practice and effective governance in public life.</w:t>
      </w:r>
      <w:r w:rsidR="00673B21" w:rsidRPr="7F44DE12">
        <w:rPr>
          <w:rFonts w:ascii="Arial" w:hAnsi="Arial" w:cs="Arial"/>
          <w:lang w:val="en-US"/>
        </w:rPr>
        <w:t xml:space="preserve"> </w:t>
      </w:r>
    </w:p>
    <w:p w14:paraId="4DC93FCC" w14:textId="5CEDD394" w:rsidR="00052AEC" w:rsidRDefault="79CC9AC1">
      <w:pPr>
        <w:rPr>
          <w:rFonts w:ascii="Arial" w:hAnsi="Arial" w:cs="Arial"/>
          <w:lang w:val="en-US"/>
        </w:rPr>
      </w:pPr>
      <w:r w:rsidRPr="7F44DE12">
        <w:rPr>
          <w:rFonts w:ascii="Arial" w:hAnsi="Arial" w:cs="Arial"/>
          <w:lang w:val="en-US"/>
        </w:rPr>
        <w:t xml:space="preserve">The </w:t>
      </w:r>
      <w:r w:rsidR="00D91706" w:rsidRPr="7F44DE12">
        <w:rPr>
          <w:rFonts w:ascii="Arial" w:hAnsi="Arial" w:cs="Arial"/>
          <w:lang w:val="en-US"/>
        </w:rPr>
        <w:t>P</w:t>
      </w:r>
      <w:r w:rsidR="00673B21" w:rsidRPr="7F44DE12">
        <w:rPr>
          <w:rFonts w:ascii="Arial" w:hAnsi="Arial" w:cs="Arial"/>
          <w:lang w:val="en-US"/>
        </w:rPr>
        <w:t xml:space="preserve">olicy and </w:t>
      </w:r>
      <w:r w:rsidR="00D91706" w:rsidRPr="7F44DE12">
        <w:rPr>
          <w:rFonts w:ascii="Arial" w:hAnsi="Arial" w:cs="Arial"/>
          <w:lang w:val="en-US"/>
        </w:rPr>
        <w:t xml:space="preserve">Research team deepened its influence </w:t>
      </w:r>
      <w:r w:rsidR="00E03B7C" w:rsidRPr="7F44DE12">
        <w:rPr>
          <w:rFonts w:ascii="Arial" w:hAnsi="Arial" w:cs="Arial"/>
          <w:lang w:val="en-US"/>
        </w:rPr>
        <w:t xml:space="preserve">across key agendas, </w:t>
      </w:r>
      <w:r w:rsidR="3091CC36" w:rsidRPr="7F44DE12">
        <w:rPr>
          <w:rFonts w:ascii="Arial" w:hAnsi="Arial" w:cs="Arial"/>
          <w:lang w:val="en-US"/>
        </w:rPr>
        <w:t xml:space="preserve">the </w:t>
      </w:r>
      <w:r w:rsidR="00E03B7C" w:rsidRPr="7F44DE12">
        <w:rPr>
          <w:rFonts w:ascii="Arial" w:hAnsi="Arial" w:cs="Arial"/>
          <w:lang w:val="en-US"/>
        </w:rPr>
        <w:t xml:space="preserve">international conferences in the UK, Uganda and Ireland reinforced </w:t>
      </w:r>
      <w:r w:rsidR="3F058935" w:rsidRPr="7F44DE12">
        <w:rPr>
          <w:rFonts w:ascii="Arial" w:hAnsi="Arial" w:cs="Arial"/>
          <w:lang w:val="en-US"/>
        </w:rPr>
        <w:t>CGIUKI’s</w:t>
      </w:r>
      <w:r w:rsidR="00E03B7C" w:rsidRPr="7F44DE12">
        <w:rPr>
          <w:rFonts w:ascii="Arial" w:hAnsi="Arial" w:cs="Arial"/>
          <w:lang w:val="en-US"/>
        </w:rPr>
        <w:t xml:space="preserve"> position as </w:t>
      </w:r>
      <w:r w:rsidR="00E77842" w:rsidRPr="7F44DE12">
        <w:rPr>
          <w:rFonts w:ascii="Arial" w:hAnsi="Arial" w:cs="Arial"/>
          <w:lang w:val="en-US"/>
        </w:rPr>
        <w:t>a leading professional body for governance. Supporting members</w:t>
      </w:r>
      <w:r w:rsidR="0037698C" w:rsidRPr="7F44DE12">
        <w:rPr>
          <w:rFonts w:ascii="Arial" w:hAnsi="Arial" w:cs="Arial"/>
          <w:lang w:val="en-US"/>
        </w:rPr>
        <w:t xml:space="preserve"> in training and development remain</w:t>
      </w:r>
      <w:r w:rsidR="008D5B2F" w:rsidRPr="7F44DE12">
        <w:rPr>
          <w:rFonts w:ascii="Arial" w:hAnsi="Arial" w:cs="Arial"/>
          <w:lang w:val="en-US"/>
        </w:rPr>
        <w:t>ed</w:t>
      </w:r>
      <w:r w:rsidR="0037698C" w:rsidRPr="7F44DE12">
        <w:rPr>
          <w:rFonts w:ascii="Arial" w:hAnsi="Arial" w:cs="Arial"/>
          <w:lang w:val="en-US"/>
        </w:rPr>
        <w:t xml:space="preserve"> essential</w:t>
      </w:r>
      <w:r w:rsidR="008D5B2F" w:rsidRPr="7F44DE12">
        <w:rPr>
          <w:rFonts w:ascii="Arial" w:hAnsi="Arial" w:cs="Arial"/>
          <w:lang w:val="en-US"/>
        </w:rPr>
        <w:t xml:space="preserve">. </w:t>
      </w:r>
      <w:r w:rsidR="609A3A2A" w:rsidRPr="7F44DE12">
        <w:rPr>
          <w:rFonts w:ascii="Arial" w:hAnsi="Arial" w:cs="Arial"/>
          <w:lang w:val="en-US"/>
        </w:rPr>
        <w:t xml:space="preserve">The </w:t>
      </w:r>
      <w:r w:rsidR="00E21FBD" w:rsidRPr="7F44DE12">
        <w:rPr>
          <w:rFonts w:ascii="Arial" w:hAnsi="Arial" w:cs="Arial"/>
          <w:lang w:val="en-US"/>
        </w:rPr>
        <w:t xml:space="preserve">education and training </w:t>
      </w:r>
      <w:proofErr w:type="gramStart"/>
      <w:r w:rsidR="00E21FBD" w:rsidRPr="7F44DE12">
        <w:rPr>
          <w:rFonts w:ascii="Arial" w:hAnsi="Arial" w:cs="Arial"/>
          <w:lang w:val="en-US"/>
        </w:rPr>
        <w:t>offer</w:t>
      </w:r>
      <w:r w:rsidR="458AEBE7" w:rsidRPr="7F44DE12">
        <w:rPr>
          <w:rFonts w:ascii="Arial" w:hAnsi="Arial" w:cs="Arial"/>
          <w:lang w:val="en-US"/>
        </w:rPr>
        <w:t xml:space="preserve"> had</w:t>
      </w:r>
      <w:proofErr w:type="gramEnd"/>
      <w:r w:rsidR="458AEBE7" w:rsidRPr="7F44DE12">
        <w:rPr>
          <w:rFonts w:ascii="Arial" w:hAnsi="Arial" w:cs="Arial"/>
          <w:lang w:val="en-US"/>
        </w:rPr>
        <w:t xml:space="preserve"> been expanded</w:t>
      </w:r>
      <w:r w:rsidR="00E21FBD" w:rsidRPr="7F44DE12">
        <w:rPr>
          <w:rFonts w:ascii="Arial" w:hAnsi="Arial" w:cs="Arial"/>
          <w:lang w:val="en-US"/>
        </w:rPr>
        <w:t xml:space="preserve"> with updated qualifications</w:t>
      </w:r>
      <w:r w:rsidR="00B82912" w:rsidRPr="7F44DE12">
        <w:rPr>
          <w:rFonts w:ascii="Arial" w:hAnsi="Arial" w:cs="Arial"/>
          <w:lang w:val="en-US"/>
        </w:rPr>
        <w:t xml:space="preserve"> and improved access to learning materials. </w:t>
      </w:r>
      <w:r w:rsidR="2BB124B2" w:rsidRPr="7F44DE12">
        <w:rPr>
          <w:rFonts w:ascii="Arial" w:hAnsi="Arial" w:cs="Arial"/>
          <w:lang w:val="en-US"/>
        </w:rPr>
        <w:t xml:space="preserve">There was a </w:t>
      </w:r>
      <w:r w:rsidR="00DB04C2" w:rsidRPr="7F44DE12">
        <w:rPr>
          <w:rFonts w:ascii="Arial" w:hAnsi="Arial" w:cs="Arial"/>
          <w:lang w:val="en-US"/>
        </w:rPr>
        <w:t xml:space="preserve">strong engagement in A.I in </w:t>
      </w:r>
      <w:r w:rsidR="6A2986D3" w:rsidRPr="7F44DE12">
        <w:rPr>
          <w:rFonts w:ascii="Arial" w:hAnsi="Arial" w:cs="Arial"/>
          <w:lang w:val="en-US"/>
        </w:rPr>
        <w:t xml:space="preserve">CGIUKI </w:t>
      </w:r>
      <w:r w:rsidR="00DB04C2" w:rsidRPr="7F44DE12">
        <w:rPr>
          <w:rFonts w:ascii="Arial" w:hAnsi="Arial" w:cs="Arial"/>
          <w:lang w:val="en-US"/>
        </w:rPr>
        <w:t xml:space="preserve">events, webinars </w:t>
      </w:r>
      <w:r w:rsidR="009C1C9D" w:rsidRPr="7F44DE12">
        <w:rPr>
          <w:rFonts w:ascii="Arial" w:hAnsi="Arial" w:cs="Arial"/>
          <w:lang w:val="en-US"/>
        </w:rPr>
        <w:t xml:space="preserve">and research, which </w:t>
      </w:r>
      <w:r w:rsidR="71A84F54" w:rsidRPr="7F44DE12">
        <w:rPr>
          <w:rFonts w:ascii="Arial" w:hAnsi="Arial" w:cs="Arial"/>
          <w:lang w:val="en-US"/>
        </w:rPr>
        <w:t>had been</w:t>
      </w:r>
      <w:r w:rsidR="009C1C9D" w:rsidRPr="7F44DE12">
        <w:rPr>
          <w:rFonts w:ascii="Arial" w:hAnsi="Arial" w:cs="Arial"/>
          <w:lang w:val="en-US"/>
        </w:rPr>
        <w:t xml:space="preserve"> well received by members. </w:t>
      </w:r>
      <w:r w:rsidR="5CBE0350" w:rsidRPr="7F44DE12">
        <w:rPr>
          <w:rFonts w:ascii="Arial" w:hAnsi="Arial" w:cs="Arial"/>
          <w:lang w:val="en-US"/>
        </w:rPr>
        <w:t xml:space="preserve">Additionally, CGIUKI </w:t>
      </w:r>
      <w:proofErr w:type="gramStart"/>
      <w:r w:rsidR="5CBE0350" w:rsidRPr="7F44DE12">
        <w:rPr>
          <w:rFonts w:ascii="Arial" w:hAnsi="Arial" w:cs="Arial"/>
          <w:lang w:val="en-US"/>
        </w:rPr>
        <w:t>had</w:t>
      </w:r>
      <w:proofErr w:type="gramEnd"/>
      <w:r w:rsidR="009C1C9D" w:rsidRPr="7F44DE12">
        <w:rPr>
          <w:rFonts w:ascii="Arial" w:hAnsi="Arial" w:cs="Arial"/>
          <w:lang w:val="en-US"/>
        </w:rPr>
        <w:t xml:space="preserve"> strengthened our international footprint across </w:t>
      </w:r>
      <w:r w:rsidR="0045672A" w:rsidRPr="7F44DE12">
        <w:rPr>
          <w:rFonts w:ascii="Arial" w:hAnsi="Arial" w:cs="Arial"/>
          <w:lang w:val="en-US"/>
        </w:rPr>
        <w:t xml:space="preserve">territories. </w:t>
      </w:r>
    </w:p>
    <w:p w14:paraId="7382C3D4" w14:textId="50A09964" w:rsidR="005368E3" w:rsidRDefault="2F93F379">
      <w:pPr>
        <w:rPr>
          <w:rFonts w:ascii="Arial" w:hAnsi="Arial" w:cs="Arial"/>
          <w:lang w:val="en-US"/>
        </w:rPr>
      </w:pPr>
      <w:r w:rsidRPr="7F44DE12">
        <w:rPr>
          <w:rFonts w:ascii="Arial" w:hAnsi="Arial" w:cs="Arial"/>
          <w:lang w:val="en-US"/>
        </w:rPr>
        <w:lastRenderedPageBreak/>
        <w:t xml:space="preserve">The </w:t>
      </w:r>
      <w:r w:rsidR="00183D1B" w:rsidRPr="7F44DE12">
        <w:rPr>
          <w:rFonts w:ascii="Arial" w:hAnsi="Arial" w:cs="Arial"/>
          <w:lang w:val="en-US"/>
        </w:rPr>
        <w:t xml:space="preserve">Chief Executive, Linda Ford, </w:t>
      </w:r>
      <w:r w:rsidR="00136C86" w:rsidRPr="7F44DE12">
        <w:rPr>
          <w:rFonts w:ascii="Arial" w:hAnsi="Arial" w:cs="Arial"/>
          <w:lang w:val="en-US"/>
        </w:rPr>
        <w:t xml:space="preserve">provided thanks </w:t>
      </w:r>
      <w:r w:rsidR="00D759EE" w:rsidRPr="7F44DE12">
        <w:rPr>
          <w:rFonts w:ascii="Arial" w:hAnsi="Arial" w:cs="Arial"/>
          <w:lang w:val="en-US"/>
        </w:rPr>
        <w:t>to members, staff and volunteers both in the UK and Ireland and internationally</w:t>
      </w:r>
      <w:r w:rsidR="003D1594" w:rsidRPr="7F44DE12">
        <w:rPr>
          <w:rFonts w:ascii="Arial" w:hAnsi="Arial" w:cs="Arial"/>
          <w:lang w:val="en-US"/>
        </w:rPr>
        <w:t xml:space="preserve"> for insight and feedback on the Institute and the challenges and opportunities facing the profession</w:t>
      </w:r>
      <w:r w:rsidR="00D759EE" w:rsidRPr="7F44DE12">
        <w:rPr>
          <w:rFonts w:ascii="Arial" w:hAnsi="Arial" w:cs="Arial"/>
          <w:lang w:val="en-US"/>
        </w:rPr>
        <w:t xml:space="preserve">. </w:t>
      </w:r>
      <w:r w:rsidR="006F6D5C" w:rsidRPr="7F44DE12">
        <w:rPr>
          <w:rFonts w:ascii="Arial" w:hAnsi="Arial" w:cs="Arial"/>
          <w:lang w:val="en-US"/>
        </w:rPr>
        <w:t>The Institute ha</w:t>
      </w:r>
      <w:r w:rsidR="005368E3" w:rsidRPr="7F44DE12">
        <w:rPr>
          <w:rFonts w:ascii="Arial" w:hAnsi="Arial" w:cs="Arial"/>
          <w:lang w:val="en-US"/>
        </w:rPr>
        <w:t>d</w:t>
      </w:r>
      <w:r w:rsidR="00870755" w:rsidRPr="7F44DE12">
        <w:rPr>
          <w:rFonts w:ascii="Arial" w:hAnsi="Arial" w:cs="Arial"/>
          <w:lang w:val="en-US"/>
        </w:rPr>
        <w:t xml:space="preserve"> credibility because of the</w:t>
      </w:r>
      <w:r w:rsidR="00D35AED" w:rsidRPr="7F44DE12">
        <w:rPr>
          <w:rFonts w:ascii="Arial" w:hAnsi="Arial" w:cs="Arial"/>
          <w:lang w:val="en-US"/>
        </w:rPr>
        <w:t xml:space="preserve"> quality and</w:t>
      </w:r>
      <w:r w:rsidR="00870755" w:rsidRPr="7F44DE12">
        <w:rPr>
          <w:rFonts w:ascii="Arial" w:hAnsi="Arial" w:cs="Arial"/>
          <w:lang w:val="en-US"/>
        </w:rPr>
        <w:t xml:space="preserve"> rigor </w:t>
      </w:r>
      <w:r w:rsidR="00D35AED" w:rsidRPr="7F44DE12">
        <w:rPr>
          <w:rFonts w:ascii="Arial" w:hAnsi="Arial" w:cs="Arial"/>
          <w:lang w:val="en-US"/>
        </w:rPr>
        <w:t xml:space="preserve">of </w:t>
      </w:r>
      <w:r w:rsidR="006F6D5C" w:rsidRPr="7F44DE12">
        <w:rPr>
          <w:rFonts w:ascii="Arial" w:hAnsi="Arial" w:cs="Arial"/>
          <w:lang w:val="en-US"/>
        </w:rPr>
        <w:t>its</w:t>
      </w:r>
      <w:r w:rsidR="00870755" w:rsidRPr="7F44DE12">
        <w:rPr>
          <w:rFonts w:ascii="Arial" w:hAnsi="Arial" w:cs="Arial"/>
          <w:lang w:val="en-US"/>
        </w:rPr>
        <w:t xml:space="preserve"> standards</w:t>
      </w:r>
      <w:r w:rsidR="00D35AED" w:rsidRPr="7F44DE12">
        <w:rPr>
          <w:rFonts w:ascii="Arial" w:hAnsi="Arial" w:cs="Arial"/>
          <w:lang w:val="en-US"/>
        </w:rPr>
        <w:t xml:space="preserve">. </w:t>
      </w:r>
    </w:p>
    <w:p w14:paraId="010690DF" w14:textId="1E78C528" w:rsidR="00183D1B" w:rsidRDefault="00623B30">
      <w:pPr>
        <w:rPr>
          <w:rFonts w:ascii="Arial" w:hAnsi="Arial" w:cs="Arial"/>
          <w:lang w:val="en-US"/>
        </w:rPr>
      </w:pPr>
      <w:r w:rsidRPr="7F44DE12">
        <w:rPr>
          <w:rFonts w:ascii="Arial" w:hAnsi="Arial" w:cs="Arial"/>
          <w:lang w:val="en-US"/>
        </w:rPr>
        <w:t>In 2025 a new suite of sector qualifications</w:t>
      </w:r>
      <w:r w:rsidR="572EE7B5" w:rsidRPr="7F44DE12">
        <w:rPr>
          <w:rFonts w:ascii="Arial" w:hAnsi="Arial" w:cs="Arial"/>
          <w:lang w:val="en-US"/>
        </w:rPr>
        <w:t xml:space="preserve"> had been launched</w:t>
      </w:r>
      <w:r w:rsidRPr="7F44DE12">
        <w:rPr>
          <w:rFonts w:ascii="Arial" w:hAnsi="Arial" w:cs="Arial"/>
          <w:lang w:val="en-US"/>
        </w:rPr>
        <w:t>, including Social Housing</w:t>
      </w:r>
      <w:r w:rsidR="00E23219" w:rsidRPr="7F44DE12">
        <w:rPr>
          <w:rFonts w:ascii="Arial" w:hAnsi="Arial" w:cs="Arial"/>
          <w:lang w:val="en-US"/>
        </w:rPr>
        <w:t xml:space="preserve">, Academy Trust and Sports Governance, reflecting the breadth of </w:t>
      </w:r>
      <w:r w:rsidR="00FD2555" w:rsidRPr="7F44DE12">
        <w:rPr>
          <w:rFonts w:ascii="Arial" w:hAnsi="Arial" w:cs="Arial"/>
          <w:lang w:val="en-US"/>
        </w:rPr>
        <w:t xml:space="preserve">context </w:t>
      </w:r>
      <w:r w:rsidR="181FEC9E" w:rsidRPr="7F44DE12">
        <w:rPr>
          <w:rFonts w:ascii="Arial" w:hAnsi="Arial" w:cs="Arial"/>
          <w:lang w:val="en-US"/>
        </w:rPr>
        <w:t xml:space="preserve">the </w:t>
      </w:r>
      <w:r w:rsidR="00FD2555" w:rsidRPr="7F44DE12">
        <w:rPr>
          <w:rFonts w:ascii="Arial" w:hAnsi="Arial" w:cs="Arial"/>
          <w:lang w:val="en-US"/>
        </w:rPr>
        <w:t xml:space="preserve">members serve. </w:t>
      </w:r>
      <w:r w:rsidR="579E18E3" w:rsidRPr="7F44DE12">
        <w:rPr>
          <w:rFonts w:ascii="Arial" w:hAnsi="Arial" w:cs="Arial"/>
          <w:lang w:val="en-US"/>
        </w:rPr>
        <w:t>A</w:t>
      </w:r>
      <w:r w:rsidR="00B813D9" w:rsidRPr="7F44DE12">
        <w:rPr>
          <w:rFonts w:ascii="Arial" w:hAnsi="Arial" w:cs="Arial"/>
          <w:lang w:val="en-US"/>
        </w:rPr>
        <w:t xml:space="preserve"> new learning management system</w:t>
      </w:r>
      <w:r w:rsidR="750F3414" w:rsidRPr="7F44DE12">
        <w:rPr>
          <w:rFonts w:ascii="Arial" w:hAnsi="Arial" w:cs="Arial"/>
          <w:lang w:val="en-US"/>
        </w:rPr>
        <w:t xml:space="preserve"> had been rolled out,</w:t>
      </w:r>
      <w:r w:rsidR="00B813D9" w:rsidRPr="7F44DE12">
        <w:rPr>
          <w:rFonts w:ascii="Arial" w:hAnsi="Arial" w:cs="Arial"/>
          <w:lang w:val="en-US"/>
        </w:rPr>
        <w:t xml:space="preserve"> new bite size courses</w:t>
      </w:r>
      <w:r w:rsidR="6C199D75" w:rsidRPr="7F44DE12">
        <w:rPr>
          <w:rFonts w:ascii="Arial" w:hAnsi="Arial" w:cs="Arial"/>
          <w:lang w:val="en-US"/>
        </w:rPr>
        <w:t xml:space="preserve"> had been launched</w:t>
      </w:r>
      <w:r w:rsidR="0037414B" w:rsidRPr="7F44DE12">
        <w:rPr>
          <w:rFonts w:ascii="Arial" w:hAnsi="Arial" w:cs="Arial"/>
          <w:lang w:val="en-US"/>
        </w:rPr>
        <w:t xml:space="preserve">, </w:t>
      </w:r>
      <w:r w:rsidR="17B54895" w:rsidRPr="7F44DE12">
        <w:rPr>
          <w:rFonts w:ascii="Arial" w:hAnsi="Arial" w:cs="Arial"/>
          <w:lang w:val="en-US"/>
        </w:rPr>
        <w:t xml:space="preserve">and </w:t>
      </w:r>
      <w:r w:rsidR="0037414B" w:rsidRPr="7F44DE12">
        <w:rPr>
          <w:rFonts w:ascii="Arial" w:hAnsi="Arial" w:cs="Arial"/>
          <w:lang w:val="en-US"/>
        </w:rPr>
        <w:t>in-house programmes and A.I ethics modules</w:t>
      </w:r>
      <w:r w:rsidR="6F37D4F2" w:rsidRPr="7F44DE12">
        <w:rPr>
          <w:rFonts w:ascii="Arial" w:hAnsi="Arial" w:cs="Arial"/>
          <w:lang w:val="en-US"/>
        </w:rPr>
        <w:t xml:space="preserve"> had been tailored</w:t>
      </w:r>
      <w:r w:rsidR="0037414B" w:rsidRPr="7F44DE12">
        <w:rPr>
          <w:rFonts w:ascii="Arial" w:hAnsi="Arial" w:cs="Arial"/>
          <w:lang w:val="en-US"/>
        </w:rPr>
        <w:t xml:space="preserve">, responding to member demand and emerging workplace needs. </w:t>
      </w:r>
    </w:p>
    <w:p w14:paraId="1D3ADEE0" w14:textId="77777777" w:rsidR="00CB3503" w:rsidRDefault="00974EB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Looking to the year ahead</w:t>
      </w:r>
      <w:r w:rsidR="00401C92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priorities </w:t>
      </w:r>
      <w:r w:rsidR="005368E3">
        <w:rPr>
          <w:rFonts w:ascii="Arial" w:hAnsi="Arial" w:cs="Arial"/>
          <w:lang w:val="en-US"/>
        </w:rPr>
        <w:t>would</w:t>
      </w:r>
      <w:r>
        <w:rPr>
          <w:rFonts w:ascii="Arial" w:hAnsi="Arial" w:cs="Arial"/>
          <w:lang w:val="en-US"/>
        </w:rPr>
        <w:t xml:space="preserve"> be </w:t>
      </w:r>
      <w:r w:rsidR="00AD1708">
        <w:rPr>
          <w:rFonts w:ascii="Arial" w:hAnsi="Arial" w:cs="Arial"/>
          <w:lang w:val="en-US"/>
        </w:rPr>
        <w:t>to extend our membership proposition, increase engagement activities and CPD offer</w:t>
      </w:r>
      <w:r w:rsidR="004D0589">
        <w:rPr>
          <w:rFonts w:ascii="Arial" w:hAnsi="Arial" w:cs="Arial"/>
          <w:lang w:val="en-US"/>
        </w:rPr>
        <w:t xml:space="preserve">, </w:t>
      </w:r>
      <w:proofErr w:type="spellStart"/>
      <w:r w:rsidR="004D0589">
        <w:rPr>
          <w:rFonts w:ascii="Arial" w:hAnsi="Arial" w:cs="Arial"/>
          <w:lang w:val="en-US"/>
        </w:rPr>
        <w:t>modernising</w:t>
      </w:r>
      <w:proofErr w:type="spellEnd"/>
      <w:r w:rsidR="004D0589">
        <w:rPr>
          <w:rFonts w:ascii="Arial" w:hAnsi="Arial" w:cs="Arial"/>
          <w:lang w:val="en-US"/>
        </w:rPr>
        <w:t xml:space="preserve"> roots to qualification,</w:t>
      </w:r>
      <w:r w:rsidR="00811004">
        <w:rPr>
          <w:rFonts w:ascii="Arial" w:hAnsi="Arial" w:cs="Arial"/>
          <w:lang w:val="en-US"/>
        </w:rPr>
        <w:t xml:space="preserve"> ensuring our </w:t>
      </w:r>
      <w:r w:rsidR="00374C7F">
        <w:rPr>
          <w:rFonts w:ascii="Arial" w:hAnsi="Arial" w:cs="Arial"/>
          <w:lang w:val="en-US"/>
        </w:rPr>
        <w:t>competency</w:t>
      </w:r>
      <w:r w:rsidR="00811004">
        <w:rPr>
          <w:rFonts w:ascii="Arial" w:hAnsi="Arial" w:cs="Arial"/>
          <w:lang w:val="en-US"/>
        </w:rPr>
        <w:t xml:space="preserve"> framework keeps </w:t>
      </w:r>
      <w:r w:rsidR="004D0589">
        <w:rPr>
          <w:rFonts w:ascii="Arial" w:hAnsi="Arial" w:cs="Arial"/>
          <w:lang w:val="en-US"/>
        </w:rPr>
        <w:t>pace with</w:t>
      </w:r>
      <w:r w:rsidR="00811004">
        <w:rPr>
          <w:rFonts w:ascii="Arial" w:hAnsi="Arial" w:cs="Arial"/>
          <w:lang w:val="en-US"/>
        </w:rPr>
        <w:t xml:space="preserve"> workplace needs </w:t>
      </w:r>
      <w:r w:rsidR="00374C7F">
        <w:rPr>
          <w:rFonts w:ascii="Arial" w:hAnsi="Arial" w:cs="Arial"/>
          <w:lang w:val="en-US"/>
        </w:rPr>
        <w:t xml:space="preserve">and that our qualifications provide accessible, flexible and affordable pathways to achieving chartered status. </w:t>
      </w:r>
    </w:p>
    <w:p w14:paraId="5D7116AB" w14:textId="7C95B41D" w:rsidR="00A775DA" w:rsidRDefault="4D1CF71F">
      <w:pPr>
        <w:rPr>
          <w:rFonts w:ascii="Arial" w:hAnsi="Arial" w:cs="Arial"/>
          <w:lang w:val="en-US"/>
        </w:rPr>
      </w:pPr>
      <w:proofErr w:type="gramStart"/>
      <w:r w:rsidRPr="7F44DE12">
        <w:rPr>
          <w:rFonts w:ascii="Arial" w:hAnsi="Arial" w:cs="Arial"/>
          <w:lang w:val="en-US"/>
        </w:rPr>
        <w:t>Celebration of</w:t>
      </w:r>
      <w:proofErr w:type="gramEnd"/>
      <w:r w:rsidRPr="7F44DE12">
        <w:rPr>
          <w:rFonts w:ascii="Arial" w:hAnsi="Arial" w:cs="Arial"/>
          <w:lang w:val="en-US"/>
        </w:rPr>
        <w:t xml:space="preserve"> </w:t>
      </w:r>
      <w:r w:rsidR="00E45422" w:rsidRPr="7F44DE12">
        <w:rPr>
          <w:rFonts w:ascii="Arial" w:hAnsi="Arial" w:cs="Arial"/>
          <w:lang w:val="en-US"/>
        </w:rPr>
        <w:t xml:space="preserve">our member achievements </w:t>
      </w:r>
      <w:r w:rsidR="5AD37FFF" w:rsidRPr="7F44DE12">
        <w:rPr>
          <w:rFonts w:ascii="Arial" w:hAnsi="Arial" w:cs="Arial"/>
          <w:lang w:val="en-US"/>
        </w:rPr>
        <w:t xml:space="preserve">would include </w:t>
      </w:r>
      <w:r w:rsidR="007C2916" w:rsidRPr="7F44DE12">
        <w:rPr>
          <w:rFonts w:ascii="Arial" w:hAnsi="Arial" w:cs="Arial"/>
          <w:lang w:val="en-US"/>
        </w:rPr>
        <w:t>in-person graduation ceremonies,</w:t>
      </w:r>
      <w:r w:rsidR="00E45422" w:rsidRPr="7F44DE12">
        <w:rPr>
          <w:rFonts w:ascii="Arial" w:hAnsi="Arial" w:cs="Arial"/>
          <w:lang w:val="en-US"/>
        </w:rPr>
        <w:t xml:space="preserve"> </w:t>
      </w:r>
      <w:r w:rsidR="007C2916" w:rsidRPr="7F44DE12">
        <w:rPr>
          <w:rFonts w:ascii="Arial" w:hAnsi="Arial" w:cs="Arial"/>
          <w:lang w:val="en-US"/>
        </w:rPr>
        <w:t>awards</w:t>
      </w:r>
      <w:r w:rsidR="00B34FC2" w:rsidRPr="7F44DE12">
        <w:rPr>
          <w:rFonts w:ascii="Arial" w:hAnsi="Arial" w:cs="Arial"/>
          <w:lang w:val="en-US"/>
        </w:rPr>
        <w:t xml:space="preserve"> and more scholarships and bursaries to support wider access to qualifications.</w:t>
      </w:r>
      <w:r w:rsidR="00E45422" w:rsidRPr="7F44DE12">
        <w:rPr>
          <w:rFonts w:ascii="Arial" w:hAnsi="Arial" w:cs="Arial"/>
          <w:lang w:val="en-US"/>
        </w:rPr>
        <w:t xml:space="preserve"> </w:t>
      </w:r>
      <w:r w:rsidR="33D729F4" w:rsidRPr="7F44DE12">
        <w:rPr>
          <w:rFonts w:ascii="Arial" w:hAnsi="Arial" w:cs="Arial"/>
          <w:lang w:val="en-US"/>
        </w:rPr>
        <w:t>CGIUKI</w:t>
      </w:r>
      <w:r w:rsidR="00B34FC2" w:rsidRPr="7F44DE12">
        <w:rPr>
          <w:rFonts w:ascii="Arial" w:hAnsi="Arial" w:cs="Arial"/>
          <w:lang w:val="en-US"/>
        </w:rPr>
        <w:t xml:space="preserve"> w</w:t>
      </w:r>
      <w:r w:rsidR="14701E2A" w:rsidRPr="7F44DE12">
        <w:rPr>
          <w:rFonts w:ascii="Arial" w:hAnsi="Arial" w:cs="Arial"/>
          <w:lang w:val="en-US"/>
        </w:rPr>
        <w:t xml:space="preserve">ould continue </w:t>
      </w:r>
      <w:proofErr w:type="gramStart"/>
      <w:r w:rsidR="00B34FC2" w:rsidRPr="7F44DE12">
        <w:rPr>
          <w:rFonts w:ascii="Arial" w:hAnsi="Arial" w:cs="Arial"/>
          <w:lang w:val="en-US"/>
        </w:rPr>
        <w:t>champion</w:t>
      </w:r>
      <w:proofErr w:type="gramEnd"/>
      <w:r w:rsidR="00B34FC2" w:rsidRPr="7F44DE12">
        <w:rPr>
          <w:rFonts w:ascii="Arial" w:hAnsi="Arial" w:cs="Arial"/>
          <w:lang w:val="en-US"/>
        </w:rPr>
        <w:t xml:space="preserve"> the profession’s identity</w:t>
      </w:r>
      <w:r w:rsidR="001B709D" w:rsidRPr="7F44DE12">
        <w:rPr>
          <w:rFonts w:ascii="Arial" w:hAnsi="Arial" w:cs="Arial"/>
          <w:lang w:val="en-US"/>
        </w:rPr>
        <w:t xml:space="preserve">, </w:t>
      </w:r>
      <w:r w:rsidR="002C664A" w:rsidRPr="7F44DE12">
        <w:rPr>
          <w:rFonts w:ascii="Arial" w:hAnsi="Arial" w:cs="Arial"/>
          <w:lang w:val="en-US"/>
        </w:rPr>
        <w:t>elevate</w:t>
      </w:r>
      <w:r w:rsidR="001B709D" w:rsidRPr="7F44DE12">
        <w:rPr>
          <w:rFonts w:ascii="Arial" w:hAnsi="Arial" w:cs="Arial"/>
          <w:lang w:val="en-US"/>
        </w:rPr>
        <w:t xml:space="preserve"> chartered status and strive for continuous improvement in </w:t>
      </w:r>
      <w:r w:rsidR="4F0CC6E4" w:rsidRPr="7F44DE12">
        <w:rPr>
          <w:rFonts w:ascii="Arial" w:hAnsi="Arial" w:cs="Arial"/>
          <w:lang w:val="en-US"/>
        </w:rPr>
        <w:t xml:space="preserve">its </w:t>
      </w:r>
      <w:r w:rsidR="001B709D" w:rsidRPr="7F44DE12">
        <w:rPr>
          <w:rFonts w:ascii="Arial" w:hAnsi="Arial" w:cs="Arial"/>
          <w:lang w:val="en-US"/>
        </w:rPr>
        <w:t>work.</w:t>
      </w:r>
    </w:p>
    <w:p w14:paraId="1497E3DB" w14:textId="77777777" w:rsidR="00052AEC" w:rsidRDefault="00052AEC">
      <w:pPr>
        <w:rPr>
          <w:rFonts w:ascii="Arial" w:hAnsi="Arial" w:cs="Arial"/>
          <w:lang w:val="en-US"/>
        </w:rPr>
      </w:pPr>
    </w:p>
    <w:p w14:paraId="132D4A7E" w14:textId="704759F8" w:rsidR="009707DD" w:rsidRPr="009707DD" w:rsidRDefault="009707DD" w:rsidP="009707D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9707DD">
        <w:rPr>
          <w:rFonts w:ascii="Arial" w:hAnsi="Arial" w:cs="Arial"/>
          <w:b/>
          <w:bCs/>
          <w:lang w:val="en-US"/>
        </w:rPr>
        <w:t xml:space="preserve">Report </w:t>
      </w:r>
      <w:proofErr w:type="gramStart"/>
      <w:r w:rsidRPr="009707DD">
        <w:rPr>
          <w:rFonts w:ascii="Arial" w:hAnsi="Arial" w:cs="Arial"/>
          <w:b/>
          <w:bCs/>
          <w:lang w:val="en-US"/>
        </w:rPr>
        <w:t>of</w:t>
      </w:r>
      <w:proofErr w:type="gramEnd"/>
      <w:r w:rsidRPr="009707DD">
        <w:rPr>
          <w:rFonts w:ascii="Arial" w:hAnsi="Arial" w:cs="Arial"/>
          <w:b/>
          <w:bCs/>
          <w:lang w:val="en-US"/>
        </w:rPr>
        <w:t xml:space="preserve"> Audit and Risk Committee</w:t>
      </w:r>
    </w:p>
    <w:p w14:paraId="4EB95658" w14:textId="7CAAC538" w:rsidR="000601BD" w:rsidRDefault="00E5697F">
      <w:pPr>
        <w:rPr>
          <w:rFonts w:ascii="Arial" w:hAnsi="Arial" w:cs="Arial"/>
          <w:lang w:val="en-US"/>
        </w:rPr>
      </w:pPr>
      <w:r w:rsidRPr="0032351F">
        <w:rPr>
          <w:rFonts w:ascii="Arial" w:hAnsi="Arial" w:cs="Arial"/>
          <w:lang w:val="en-US"/>
        </w:rPr>
        <w:t xml:space="preserve">A </w:t>
      </w:r>
      <w:r w:rsidR="00701C99" w:rsidRPr="0032351F">
        <w:rPr>
          <w:rFonts w:ascii="Arial" w:hAnsi="Arial" w:cs="Arial"/>
          <w:lang w:val="en-US"/>
        </w:rPr>
        <w:t>summary of the financial statements</w:t>
      </w:r>
      <w:r w:rsidRPr="0032351F">
        <w:rPr>
          <w:rFonts w:ascii="Arial" w:hAnsi="Arial" w:cs="Arial"/>
          <w:lang w:val="en-US"/>
        </w:rPr>
        <w:t xml:space="preserve"> was</w:t>
      </w:r>
      <w:r w:rsidR="00817B04">
        <w:rPr>
          <w:rFonts w:ascii="Arial" w:hAnsi="Arial" w:cs="Arial"/>
          <w:lang w:val="en-US"/>
        </w:rPr>
        <w:t xml:space="preserve"> provided</w:t>
      </w:r>
      <w:r w:rsidR="000601BD">
        <w:rPr>
          <w:rFonts w:ascii="Arial" w:hAnsi="Arial" w:cs="Arial"/>
          <w:lang w:val="en-US"/>
        </w:rPr>
        <w:t xml:space="preserve">. There was a net surplus of </w:t>
      </w:r>
      <w:r w:rsidR="005D51FE">
        <w:rPr>
          <w:rFonts w:ascii="Arial" w:hAnsi="Arial" w:cs="Arial"/>
          <w:lang w:val="en-US"/>
        </w:rPr>
        <w:t xml:space="preserve">£783k after a tax charge of </w:t>
      </w:r>
      <w:r w:rsidR="00905927">
        <w:rPr>
          <w:rFonts w:ascii="Arial" w:hAnsi="Arial" w:cs="Arial"/>
          <w:lang w:val="en-US"/>
        </w:rPr>
        <w:t>£566k. This compare</w:t>
      </w:r>
      <w:r w:rsidR="00CB3503">
        <w:rPr>
          <w:rFonts w:ascii="Arial" w:hAnsi="Arial" w:cs="Arial"/>
          <w:lang w:val="en-US"/>
        </w:rPr>
        <w:t>d</w:t>
      </w:r>
      <w:r w:rsidR="00905927">
        <w:rPr>
          <w:rFonts w:ascii="Arial" w:hAnsi="Arial" w:cs="Arial"/>
          <w:lang w:val="en-US"/>
        </w:rPr>
        <w:t xml:space="preserve"> with a surplus of £</w:t>
      </w:r>
      <w:r w:rsidR="00A85ECA">
        <w:rPr>
          <w:rFonts w:ascii="Arial" w:hAnsi="Arial" w:cs="Arial"/>
          <w:lang w:val="en-US"/>
        </w:rPr>
        <w:t>1</w:t>
      </w:r>
      <w:r w:rsidR="00905927">
        <w:rPr>
          <w:rFonts w:ascii="Arial" w:hAnsi="Arial" w:cs="Arial"/>
          <w:lang w:val="en-US"/>
        </w:rPr>
        <w:t>.</w:t>
      </w:r>
      <w:r w:rsidR="00A85ECA">
        <w:rPr>
          <w:rFonts w:ascii="Arial" w:hAnsi="Arial" w:cs="Arial"/>
          <w:lang w:val="en-US"/>
        </w:rPr>
        <w:t>5</w:t>
      </w:r>
      <w:r w:rsidR="00905927">
        <w:rPr>
          <w:rFonts w:ascii="Arial" w:hAnsi="Arial" w:cs="Arial"/>
          <w:lang w:val="en-US"/>
        </w:rPr>
        <w:t>7m</w:t>
      </w:r>
      <w:r w:rsidR="00A85ECA">
        <w:rPr>
          <w:rFonts w:ascii="Arial" w:hAnsi="Arial" w:cs="Arial"/>
          <w:lang w:val="en-US"/>
        </w:rPr>
        <w:t xml:space="preserve"> from the prior year</w:t>
      </w:r>
      <w:r w:rsidR="006F2F52">
        <w:rPr>
          <w:rFonts w:ascii="Arial" w:hAnsi="Arial" w:cs="Arial"/>
          <w:lang w:val="en-US"/>
        </w:rPr>
        <w:t>, whilst a lower outturn</w:t>
      </w:r>
      <w:r w:rsidR="00FC191F">
        <w:rPr>
          <w:rFonts w:ascii="Arial" w:hAnsi="Arial" w:cs="Arial"/>
          <w:lang w:val="en-US"/>
        </w:rPr>
        <w:t xml:space="preserve"> reflect</w:t>
      </w:r>
      <w:r w:rsidR="00CB3503">
        <w:rPr>
          <w:rFonts w:ascii="Arial" w:hAnsi="Arial" w:cs="Arial"/>
          <w:lang w:val="en-US"/>
        </w:rPr>
        <w:t>ed</w:t>
      </w:r>
      <w:r w:rsidR="00FC191F">
        <w:rPr>
          <w:rFonts w:ascii="Arial" w:hAnsi="Arial" w:cs="Arial"/>
          <w:lang w:val="en-US"/>
        </w:rPr>
        <w:t xml:space="preserve"> </w:t>
      </w:r>
      <w:r w:rsidR="00CB3503">
        <w:rPr>
          <w:rFonts w:ascii="Arial" w:hAnsi="Arial" w:cs="Arial"/>
          <w:lang w:val="en-US"/>
        </w:rPr>
        <w:t xml:space="preserve">a </w:t>
      </w:r>
      <w:r w:rsidR="00FC191F">
        <w:rPr>
          <w:rFonts w:ascii="Arial" w:hAnsi="Arial" w:cs="Arial"/>
          <w:lang w:val="en-US"/>
        </w:rPr>
        <w:t xml:space="preserve">stable income, continued investment in our activities </w:t>
      </w:r>
      <w:r w:rsidR="00372635">
        <w:rPr>
          <w:rFonts w:ascii="Arial" w:hAnsi="Arial" w:cs="Arial"/>
          <w:lang w:val="en-US"/>
        </w:rPr>
        <w:t>and more modest returns from financial markets.</w:t>
      </w:r>
      <w:r w:rsidR="00F57DCC">
        <w:rPr>
          <w:rFonts w:ascii="Arial" w:hAnsi="Arial" w:cs="Arial"/>
          <w:lang w:val="en-US"/>
        </w:rPr>
        <w:t xml:space="preserve"> Total </w:t>
      </w:r>
      <w:r w:rsidR="009325B2">
        <w:rPr>
          <w:rFonts w:ascii="Arial" w:hAnsi="Arial" w:cs="Arial"/>
          <w:lang w:val="en-US"/>
        </w:rPr>
        <w:t xml:space="preserve">operating </w:t>
      </w:r>
      <w:r w:rsidR="00F57DCC">
        <w:rPr>
          <w:rFonts w:ascii="Arial" w:hAnsi="Arial" w:cs="Arial"/>
          <w:lang w:val="en-US"/>
        </w:rPr>
        <w:t xml:space="preserve">income was </w:t>
      </w:r>
      <w:r w:rsidR="000D7F3E">
        <w:rPr>
          <w:rFonts w:ascii="Arial" w:hAnsi="Arial" w:cs="Arial"/>
          <w:lang w:val="en-US"/>
        </w:rPr>
        <w:t xml:space="preserve">£7,975m, broadly in line with last year. </w:t>
      </w:r>
    </w:p>
    <w:p w14:paraId="6A61AF60" w14:textId="52224A2B" w:rsidR="008B18C5" w:rsidRDefault="008B18C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Group’s investment portfolio performed very </w:t>
      </w:r>
      <w:proofErr w:type="gramStart"/>
      <w:r>
        <w:rPr>
          <w:rFonts w:ascii="Arial" w:hAnsi="Arial" w:cs="Arial"/>
          <w:lang w:val="en-US"/>
        </w:rPr>
        <w:t>well</w:t>
      </w:r>
      <w:proofErr w:type="gramEnd"/>
      <w:r>
        <w:rPr>
          <w:rFonts w:ascii="Arial" w:hAnsi="Arial" w:cs="Arial"/>
          <w:lang w:val="en-US"/>
        </w:rPr>
        <w:t xml:space="preserve"> closing the year with an investment </w:t>
      </w:r>
      <w:r w:rsidR="007B7D78">
        <w:rPr>
          <w:rFonts w:ascii="Arial" w:hAnsi="Arial" w:cs="Arial"/>
          <w:lang w:val="en-US"/>
        </w:rPr>
        <w:t>income</w:t>
      </w:r>
      <w:r>
        <w:rPr>
          <w:rFonts w:ascii="Arial" w:hAnsi="Arial" w:cs="Arial"/>
          <w:lang w:val="en-US"/>
        </w:rPr>
        <w:t xml:space="preserve"> of over £</w:t>
      </w:r>
      <w:r w:rsidR="00C12390">
        <w:rPr>
          <w:rFonts w:ascii="Arial" w:hAnsi="Arial" w:cs="Arial"/>
          <w:lang w:val="en-US"/>
        </w:rPr>
        <w:t>915k</w:t>
      </w:r>
      <w:r>
        <w:rPr>
          <w:rFonts w:ascii="Arial" w:hAnsi="Arial" w:cs="Arial"/>
          <w:lang w:val="en-US"/>
        </w:rPr>
        <w:t xml:space="preserve">, </w:t>
      </w:r>
      <w:r w:rsidR="00C12390">
        <w:rPr>
          <w:rFonts w:ascii="Arial" w:hAnsi="Arial" w:cs="Arial"/>
          <w:lang w:val="en-US"/>
        </w:rPr>
        <w:t>compared with just over a million last year.</w:t>
      </w:r>
      <w:r w:rsidR="00243D02">
        <w:rPr>
          <w:rFonts w:ascii="Arial" w:hAnsi="Arial" w:cs="Arial"/>
          <w:lang w:val="en-US"/>
        </w:rPr>
        <w:t xml:space="preserve"> </w:t>
      </w:r>
      <w:proofErr w:type="gramStart"/>
      <w:r w:rsidR="00243D02">
        <w:rPr>
          <w:rFonts w:ascii="Arial" w:hAnsi="Arial" w:cs="Arial"/>
          <w:lang w:val="en-US"/>
        </w:rPr>
        <w:t>At</w:t>
      </w:r>
      <w:proofErr w:type="gramEnd"/>
      <w:r w:rsidR="00243D02">
        <w:rPr>
          <w:rFonts w:ascii="Arial" w:hAnsi="Arial" w:cs="Arial"/>
          <w:lang w:val="en-US"/>
        </w:rPr>
        <w:t xml:space="preserve"> 30 June 2025 our investment portfolio had a market </w:t>
      </w:r>
      <w:r w:rsidR="00B53DC2">
        <w:rPr>
          <w:rFonts w:ascii="Arial" w:hAnsi="Arial" w:cs="Arial"/>
          <w:lang w:val="en-US"/>
        </w:rPr>
        <w:t>value of £35.5</w:t>
      </w:r>
      <w:r w:rsidR="00FA7B19">
        <w:rPr>
          <w:rFonts w:ascii="Arial" w:hAnsi="Arial" w:cs="Arial"/>
          <w:lang w:val="en-US"/>
        </w:rPr>
        <w:t>m, which</w:t>
      </w:r>
      <w:r w:rsidR="00B53DC2">
        <w:rPr>
          <w:rFonts w:ascii="Arial" w:hAnsi="Arial" w:cs="Arial"/>
          <w:lang w:val="en-US"/>
        </w:rPr>
        <w:t xml:space="preserve"> was a new high.</w:t>
      </w:r>
    </w:p>
    <w:p w14:paraId="594B91F2" w14:textId="2E08C27C" w:rsidR="00A925EE" w:rsidRDefault="0052027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540F04" w:rsidRPr="0032351F">
        <w:rPr>
          <w:rFonts w:ascii="Arial" w:hAnsi="Arial" w:cs="Arial"/>
          <w:lang w:val="en-US"/>
        </w:rPr>
        <w:t xml:space="preserve">ncome </w:t>
      </w:r>
      <w:r>
        <w:rPr>
          <w:rFonts w:ascii="Arial" w:hAnsi="Arial" w:cs="Arial"/>
          <w:lang w:val="en-US"/>
        </w:rPr>
        <w:t xml:space="preserve">from our professional activities </w:t>
      </w:r>
      <w:r w:rsidR="009B176E">
        <w:rPr>
          <w:rFonts w:ascii="Arial" w:hAnsi="Arial" w:cs="Arial"/>
          <w:lang w:val="en-US"/>
        </w:rPr>
        <w:t>increased to</w:t>
      </w:r>
      <w:r w:rsidR="00ED1D84">
        <w:rPr>
          <w:rFonts w:ascii="Arial" w:hAnsi="Arial" w:cs="Arial"/>
          <w:lang w:val="en-US"/>
        </w:rPr>
        <w:t xml:space="preserve"> £5.59m.</w:t>
      </w:r>
      <w:r w:rsidR="00540F04" w:rsidRPr="0032351F">
        <w:rPr>
          <w:rFonts w:ascii="Arial" w:hAnsi="Arial" w:cs="Arial"/>
          <w:lang w:val="en-US"/>
        </w:rPr>
        <w:t xml:space="preserve"> </w:t>
      </w:r>
      <w:r w:rsidR="006A6DAD">
        <w:rPr>
          <w:rFonts w:ascii="Arial" w:hAnsi="Arial" w:cs="Arial"/>
          <w:lang w:val="en-US"/>
        </w:rPr>
        <w:t xml:space="preserve">Member income was </w:t>
      </w:r>
      <w:r w:rsidR="00540F04" w:rsidRPr="0032351F">
        <w:rPr>
          <w:rFonts w:ascii="Arial" w:hAnsi="Arial" w:cs="Arial"/>
          <w:lang w:val="en-US"/>
        </w:rPr>
        <w:t>£2.</w:t>
      </w:r>
      <w:r w:rsidR="009B176E">
        <w:rPr>
          <w:rFonts w:ascii="Arial" w:hAnsi="Arial" w:cs="Arial"/>
          <w:lang w:val="en-US"/>
        </w:rPr>
        <w:t>5</w:t>
      </w:r>
      <w:r w:rsidR="006A6DAD">
        <w:rPr>
          <w:rFonts w:ascii="Arial" w:hAnsi="Arial" w:cs="Arial"/>
          <w:lang w:val="en-US"/>
        </w:rPr>
        <w:t>6</w:t>
      </w:r>
      <w:r w:rsidR="00540F04" w:rsidRPr="0032351F">
        <w:rPr>
          <w:rFonts w:ascii="Arial" w:hAnsi="Arial" w:cs="Arial"/>
          <w:lang w:val="en-US"/>
        </w:rPr>
        <w:t>m</w:t>
      </w:r>
      <w:r w:rsidR="00FA7B19">
        <w:rPr>
          <w:rFonts w:ascii="Arial" w:hAnsi="Arial" w:cs="Arial"/>
          <w:lang w:val="en-US"/>
        </w:rPr>
        <w:t>, which was broadly</w:t>
      </w:r>
      <w:r w:rsidR="006A6DAD">
        <w:rPr>
          <w:rFonts w:ascii="Arial" w:hAnsi="Arial" w:cs="Arial"/>
          <w:lang w:val="en-US"/>
        </w:rPr>
        <w:t xml:space="preserve"> consistent with 2024</w:t>
      </w:r>
      <w:r w:rsidR="00256468">
        <w:rPr>
          <w:rFonts w:ascii="Arial" w:hAnsi="Arial" w:cs="Arial"/>
          <w:lang w:val="en-US"/>
        </w:rPr>
        <w:t xml:space="preserve"> while </w:t>
      </w:r>
      <w:r w:rsidR="001C5BD4">
        <w:rPr>
          <w:rFonts w:ascii="Arial" w:hAnsi="Arial" w:cs="Arial"/>
          <w:lang w:val="en-US"/>
        </w:rPr>
        <w:t>s</w:t>
      </w:r>
      <w:r w:rsidR="00540F04" w:rsidRPr="0032351F">
        <w:rPr>
          <w:rFonts w:ascii="Arial" w:hAnsi="Arial" w:cs="Arial"/>
          <w:lang w:val="en-US"/>
        </w:rPr>
        <w:t>tudent income</w:t>
      </w:r>
      <w:r w:rsidR="001C5BD4">
        <w:rPr>
          <w:rFonts w:ascii="Arial" w:hAnsi="Arial" w:cs="Arial"/>
          <w:lang w:val="en-US"/>
        </w:rPr>
        <w:t xml:space="preserve"> </w:t>
      </w:r>
      <w:r w:rsidR="00256468">
        <w:rPr>
          <w:rFonts w:ascii="Arial" w:hAnsi="Arial" w:cs="Arial"/>
          <w:lang w:val="en-US"/>
        </w:rPr>
        <w:t>increased by nearly 20%</w:t>
      </w:r>
      <w:r w:rsidR="001C5BD4">
        <w:rPr>
          <w:rFonts w:ascii="Arial" w:hAnsi="Arial" w:cs="Arial"/>
          <w:lang w:val="en-US"/>
        </w:rPr>
        <w:t xml:space="preserve">. </w:t>
      </w:r>
      <w:r w:rsidR="00494D5F">
        <w:rPr>
          <w:rFonts w:ascii="Arial" w:hAnsi="Arial" w:cs="Arial"/>
          <w:lang w:val="en-US"/>
        </w:rPr>
        <w:t>I</w:t>
      </w:r>
      <w:r w:rsidR="00540F04" w:rsidRPr="0032351F">
        <w:rPr>
          <w:rFonts w:ascii="Arial" w:hAnsi="Arial" w:cs="Arial"/>
          <w:lang w:val="en-US"/>
        </w:rPr>
        <w:t xml:space="preserve">ncome </w:t>
      </w:r>
      <w:r w:rsidR="00851D8D">
        <w:rPr>
          <w:rFonts w:ascii="Arial" w:hAnsi="Arial" w:cs="Arial"/>
          <w:lang w:val="en-US"/>
        </w:rPr>
        <w:t>from</w:t>
      </w:r>
      <w:r w:rsidR="00B037CA">
        <w:rPr>
          <w:rFonts w:ascii="Arial" w:hAnsi="Arial" w:cs="Arial"/>
          <w:lang w:val="en-US"/>
        </w:rPr>
        <w:t xml:space="preserve"> </w:t>
      </w:r>
      <w:proofErr w:type="gramStart"/>
      <w:r w:rsidR="001C5BD4">
        <w:rPr>
          <w:rFonts w:ascii="Arial" w:hAnsi="Arial" w:cs="Arial"/>
          <w:lang w:val="en-US"/>
        </w:rPr>
        <w:t>commercial</w:t>
      </w:r>
      <w:proofErr w:type="gramEnd"/>
      <w:r w:rsidR="001C5BD4">
        <w:rPr>
          <w:rFonts w:ascii="Arial" w:hAnsi="Arial" w:cs="Arial"/>
          <w:lang w:val="en-US"/>
        </w:rPr>
        <w:t xml:space="preserve"> </w:t>
      </w:r>
      <w:r w:rsidR="00FA7B19">
        <w:rPr>
          <w:rFonts w:ascii="Arial" w:hAnsi="Arial" w:cs="Arial"/>
          <w:lang w:val="en-US"/>
        </w:rPr>
        <w:t>was</w:t>
      </w:r>
      <w:r w:rsidR="001C5BD4">
        <w:rPr>
          <w:rFonts w:ascii="Arial" w:hAnsi="Arial" w:cs="Arial"/>
          <w:lang w:val="en-US"/>
        </w:rPr>
        <w:t xml:space="preserve"> </w:t>
      </w:r>
      <w:r w:rsidR="00540F04" w:rsidRPr="0032351F">
        <w:rPr>
          <w:rFonts w:ascii="Arial" w:hAnsi="Arial" w:cs="Arial"/>
          <w:lang w:val="en-US"/>
        </w:rPr>
        <w:t>£</w:t>
      </w:r>
      <w:r w:rsidR="001C5BD4">
        <w:rPr>
          <w:rFonts w:ascii="Arial" w:hAnsi="Arial" w:cs="Arial"/>
          <w:lang w:val="en-US"/>
        </w:rPr>
        <w:t>2</w:t>
      </w:r>
      <w:r w:rsidR="00540F04" w:rsidRPr="0032351F">
        <w:rPr>
          <w:rFonts w:ascii="Arial" w:hAnsi="Arial" w:cs="Arial"/>
          <w:lang w:val="en-US"/>
        </w:rPr>
        <w:t>.</w:t>
      </w:r>
      <w:r w:rsidR="006C6830">
        <w:rPr>
          <w:rFonts w:ascii="Arial" w:hAnsi="Arial" w:cs="Arial"/>
          <w:lang w:val="en-US"/>
        </w:rPr>
        <w:t>39</w:t>
      </w:r>
      <w:r w:rsidR="00540F04" w:rsidRPr="0032351F">
        <w:rPr>
          <w:rFonts w:ascii="Arial" w:hAnsi="Arial" w:cs="Arial"/>
          <w:lang w:val="en-US"/>
        </w:rPr>
        <w:t xml:space="preserve">m. </w:t>
      </w:r>
      <w:r w:rsidR="00661AE4">
        <w:rPr>
          <w:rFonts w:ascii="Arial" w:hAnsi="Arial" w:cs="Arial"/>
          <w:lang w:val="en-US"/>
        </w:rPr>
        <w:t>CGI business services</w:t>
      </w:r>
      <w:r w:rsidR="004D5C7A">
        <w:rPr>
          <w:rFonts w:ascii="Arial" w:hAnsi="Arial" w:cs="Arial"/>
          <w:lang w:val="en-US"/>
        </w:rPr>
        <w:t xml:space="preserve"> reported i</w:t>
      </w:r>
      <w:r w:rsidR="00540F04" w:rsidRPr="0032351F">
        <w:rPr>
          <w:rFonts w:ascii="Arial" w:hAnsi="Arial" w:cs="Arial"/>
          <w:lang w:val="en-US"/>
        </w:rPr>
        <w:t>ncome</w:t>
      </w:r>
      <w:r w:rsidR="004D5C7A">
        <w:rPr>
          <w:rFonts w:ascii="Arial" w:hAnsi="Arial" w:cs="Arial"/>
          <w:lang w:val="en-US"/>
        </w:rPr>
        <w:t xml:space="preserve"> of £4.</w:t>
      </w:r>
      <w:r w:rsidR="0027081B">
        <w:rPr>
          <w:rFonts w:ascii="Arial" w:hAnsi="Arial" w:cs="Arial"/>
          <w:lang w:val="en-US"/>
        </w:rPr>
        <w:t xml:space="preserve">72m. </w:t>
      </w:r>
      <w:proofErr w:type="spellStart"/>
      <w:r w:rsidR="0027081B">
        <w:rPr>
          <w:rFonts w:ascii="Arial" w:hAnsi="Arial" w:cs="Arial"/>
          <w:lang w:val="en-US"/>
        </w:rPr>
        <w:t>Prosh</w:t>
      </w:r>
      <w:r w:rsidR="00A925EE">
        <w:rPr>
          <w:rFonts w:ascii="Arial" w:hAnsi="Arial" w:cs="Arial"/>
          <w:lang w:val="en-US"/>
        </w:rPr>
        <w:t>a</w:t>
      </w:r>
      <w:r w:rsidR="0027081B">
        <w:rPr>
          <w:rFonts w:ascii="Arial" w:hAnsi="Arial" w:cs="Arial"/>
          <w:lang w:val="en-US"/>
        </w:rPr>
        <w:t>re</w:t>
      </w:r>
      <w:proofErr w:type="spellEnd"/>
      <w:r w:rsidR="00A925EE">
        <w:rPr>
          <w:rFonts w:ascii="Arial" w:hAnsi="Arial" w:cs="Arial"/>
          <w:lang w:val="en-US"/>
        </w:rPr>
        <w:t xml:space="preserve"> performed well with income of £5</w:t>
      </w:r>
      <w:r w:rsidR="00E75A00">
        <w:rPr>
          <w:rFonts w:ascii="Arial" w:hAnsi="Arial" w:cs="Arial"/>
          <w:lang w:val="en-US"/>
        </w:rPr>
        <w:t>85k.</w:t>
      </w:r>
    </w:p>
    <w:p w14:paraId="6996C644" w14:textId="22006874" w:rsidR="00E75A00" w:rsidRDefault="00E75A0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summary, the group had delivered positive surplus </w:t>
      </w:r>
      <w:r w:rsidR="00E93038">
        <w:rPr>
          <w:rFonts w:ascii="Arial" w:hAnsi="Arial" w:cs="Arial"/>
          <w:lang w:val="en-US"/>
        </w:rPr>
        <w:t xml:space="preserve">and maintained stable income across </w:t>
      </w:r>
      <w:proofErr w:type="gramStart"/>
      <w:r w:rsidR="00E93038">
        <w:rPr>
          <w:rFonts w:ascii="Arial" w:hAnsi="Arial" w:cs="Arial"/>
          <w:lang w:val="en-US"/>
        </w:rPr>
        <w:t>all of</w:t>
      </w:r>
      <w:proofErr w:type="gramEnd"/>
      <w:r w:rsidR="00E93038">
        <w:rPr>
          <w:rFonts w:ascii="Arial" w:hAnsi="Arial" w:cs="Arial"/>
          <w:lang w:val="en-US"/>
        </w:rPr>
        <w:t xml:space="preserve"> its core activities and </w:t>
      </w:r>
      <w:r w:rsidR="00AB26C2">
        <w:rPr>
          <w:rFonts w:ascii="Arial" w:hAnsi="Arial" w:cs="Arial"/>
          <w:lang w:val="en-US"/>
        </w:rPr>
        <w:t>continued</w:t>
      </w:r>
      <w:r w:rsidR="00E93038">
        <w:rPr>
          <w:rFonts w:ascii="Arial" w:hAnsi="Arial" w:cs="Arial"/>
          <w:lang w:val="en-US"/>
        </w:rPr>
        <w:t xml:space="preserve"> to benefit from a well-managed investment portfolio.</w:t>
      </w:r>
    </w:p>
    <w:p w14:paraId="360AD829" w14:textId="2A9CFA5C" w:rsidR="00D44525" w:rsidRDefault="00D44525" w:rsidP="009707D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Questions </w:t>
      </w:r>
    </w:p>
    <w:p w14:paraId="42929905" w14:textId="37AE1D8D" w:rsidR="00D44525" w:rsidRPr="00D44525" w:rsidRDefault="0076374E" w:rsidP="00D4452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Questions received at the meeting and questions received in advance of the meeting are attached as appendix A</w:t>
      </w:r>
      <w:r w:rsidR="00C01A83">
        <w:rPr>
          <w:rFonts w:ascii="Arial" w:hAnsi="Arial" w:cs="Arial"/>
          <w:lang w:val="en-US"/>
        </w:rPr>
        <w:t xml:space="preserve">. </w:t>
      </w:r>
    </w:p>
    <w:p w14:paraId="25182030" w14:textId="65CAF44B" w:rsidR="000337B1" w:rsidRPr="0032351F" w:rsidRDefault="009707DD" w:rsidP="009707D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32351F">
        <w:rPr>
          <w:rFonts w:ascii="Arial" w:hAnsi="Arial" w:cs="Arial"/>
          <w:b/>
          <w:bCs/>
          <w:lang w:val="en-US"/>
        </w:rPr>
        <w:t>Resolutions</w:t>
      </w:r>
    </w:p>
    <w:p w14:paraId="60B81873" w14:textId="77777777" w:rsidR="0021569F" w:rsidRPr="0021569F" w:rsidRDefault="0021569F" w:rsidP="0021569F">
      <w:pPr>
        <w:rPr>
          <w:rFonts w:ascii="Arial" w:hAnsi="Arial" w:cs="Arial"/>
          <w:b/>
          <w:bCs/>
          <w:lang w:val="en-US"/>
        </w:rPr>
      </w:pPr>
      <w:r w:rsidRPr="0021569F">
        <w:rPr>
          <w:rFonts w:ascii="Arial" w:hAnsi="Arial" w:cs="Arial"/>
          <w:b/>
          <w:bCs/>
          <w:lang w:val="en-US"/>
        </w:rPr>
        <w:t>Results</w:t>
      </w:r>
    </w:p>
    <w:p w14:paraId="32D405A2" w14:textId="77777777" w:rsidR="0021569F" w:rsidRPr="0021569F" w:rsidRDefault="0021569F" w:rsidP="0021569F">
      <w:pPr>
        <w:rPr>
          <w:rFonts w:ascii="Arial" w:hAnsi="Arial" w:cs="Arial"/>
          <w:lang w:val="en-US"/>
        </w:rPr>
      </w:pPr>
      <w:proofErr w:type="gramStart"/>
      <w:r w:rsidRPr="0021569F">
        <w:rPr>
          <w:rFonts w:ascii="Arial" w:hAnsi="Arial" w:cs="Arial"/>
          <w:lang w:val="en-US"/>
        </w:rPr>
        <w:t>The vast majority of</w:t>
      </w:r>
      <w:proofErr w:type="gramEnd"/>
      <w:r w:rsidRPr="0021569F">
        <w:rPr>
          <w:rFonts w:ascii="Arial" w:hAnsi="Arial" w:cs="Arial"/>
          <w:lang w:val="en-US"/>
        </w:rPr>
        <w:t xml:space="preserve"> voting members approved </w:t>
      </w:r>
      <w:proofErr w:type="gramStart"/>
      <w:r w:rsidRPr="0021569F">
        <w:rPr>
          <w:rFonts w:ascii="Arial" w:hAnsi="Arial" w:cs="Arial"/>
          <w:lang w:val="en-US"/>
        </w:rPr>
        <w:t>all of</w:t>
      </w:r>
      <w:proofErr w:type="gramEnd"/>
      <w:r w:rsidRPr="0021569F">
        <w:rPr>
          <w:rFonts w:ascii="Arial" w:hAnsi="Arial" w:cs="Arial"/>
          <w:lang w:val="en-US"/>
        </w:rPr>
        <w:t xml:space="preserve"> the resolutions put forward at the meeting. </w:t>
      </w:r>
    </w:p>
    <w:p w14:paraId="2616DEC4" w14:textId="77777777" w:rsidR="0021569F" w:rsidRPr="0021569F" w:rsidRDefault="0021569F" w:rsidP="0021569F">
      <w:pPr>
        <w:rPr>
          <w:rFonts w:ascii="Arial" w:hAnsi="Arial" w:cs="Arial"/>
          <w:lang w:val="en-US"/>
        </w:rPr>
      </w:pPr>
      <w:r w:rsidRPr="0021569F">
        <w:rPr>
          <w:rFonts w:ascii="Arial" w:hAnsi="Arial" w:cs="Arial"/>
          <w:lang w:val="en-US"/>
        </w:rPr>
        <w:t>The following resolutions were voted on by way of a poll: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1085"/>
        <w:gridCol w:w="1257"/>
        <w:gridCol w:w="1356"/>
        <w:gridCol w:w="1139"/>
        <w:gridCol w:w="1375"/>
        <w:gridCol w:w="1222"/>
      </w:tblGrid>
      <w:tr w:rsidR="00B64D05" w:rsidRPr="00792B5E" w14:paraId="7D2B60C6" w14:textId="77777777" w:rsidTr="00115127">
        <w:tc>
          <w:tcPr>
            <w:tcW w:w="1648" w:type="dxa"/>
          </w:tcPr>
          <w:p w14:paraId="4EFAB1B4" w14:textId="77777777" w:rsidR="00B64D05" w:rsidRPr="00792B5E" w:rsidRDefault="00B64D05" w:rsidP="00115127">
            <w:pPr>
              <w:rPr>
                <w:rFonts w:cs="Times"/>
                <w:b/>
                <w:color w:val="000000" w:themeColor="text1"/>
              </w:rPr>
            </w:pPr>
          </w:p>
        </w:tc>
        <w:tc>
          <w:tcPr>
            <w:tcW w:w="1200" w:type="dxa"/>
          </w:tcPr>
          <w:p w14:paraId="0280233B" w14:textId="77777777" w:rsidR="00B64D05" w:rsidRPr="00792B5E" w:rsidRDefault="00B64D05" w:rsidP="00115127">
            <w:pPr>
              <w:jc w:val="center"/>
              <w:rPr>
                <w:rFonts w:cs="Times"/>
                <w:b/>
                <w:color w:val="000000" w:themeColor="text1"/>
              </w:rPr>
            </w:pPr>
            <w:r w:rsidRPr="00792B5E">
              <w:rPr>
                <w:rFonts w:cs="Times"/>
                <w:b/>
                <w:color w:val="000000" w:themeColor="text1"/>
              </w:rPr>
              <w:t>For</w:t>
            </w:r>
          </w:p>
        </w:tc>
        <w:tc>
          <w:tcPr>
            <w:tcW w:w="1330" w:type="dxa"/>
          </w:tcPr>
          <w:p w14:paraId="08D443F0" w14:textId="77777777" w:rsidR="00B64D05" w:rsidRPr="00792B5E" w:rsidRDefault="00B64D05" w:rsidP="00115127">
            <w:pPr>
              <w:jc w:val="center"/>
              <w:rPr>
                <w:rFonts w:cs="Times"/>
                <w:b/>
                <w:color w:val="000000" w:themeColor="text1"/>
              </w:rPr>
            </w:pPr>
            <w:r>
              <w:rPr>
                <w:rFonts w:cs="Times"/>
                <w:b/>
                <w:color w:val="000000" w:themeColor="text1"/>
              </w:rPr>
              <w:t>%</w:t>
            </w:r>
          </w:p>
        </w:tc>
        <w:tc>
          <w:tcPr>
            <w:tcW w:w="1446" w:type="dxa"/>
          </w:tcPr>
          <w:p w14:paraId="523EF5D3" w14:textId="77777777" w:rsidR="00B64D05" w:rsidRPr="00792B5E" w:rsidRDefault="00B64D05" w:rsidP="00115127">
            <w:pPr>
              <w:jc w:val="center"/>
              <w:rPr>
                <w:rFonts w:cs="Times"/>
                <w:b/>
                <w:color w:val="000000" w:themeColor="text1"/>
              </w:rPr>
            </w:pPr>
            <w:r w:rsidRPr="00792B5E">
              <w:rPr>
                <w:rFonts w:cs="Times"/>
                <w:b/>
                <w:color w:val="000000" w:themeColor="text1"/>
              </w:rPr>
              <w:t>Against</w:t>
            </w:r>
          </w:p>
        </w:tc>
        <w:tc>
          <w:tcPr>
            <w:tcW w:w="1241" w:type="dxa"/>
          </w:tcPr>
          <w:p w14:paraId="546993DB" w14:textId="77777777" w:rsidR="00B64D05" w:rsidRPr="00792B5E" w:rsidRDefault="00B64D05" w:rsidP="00115127">
            <w:pPr>
              <w:jc w:val="center"/>
              <w:rPr>
                <w:rFonts w:cs="Times"/>
                <w:b/>
                <w:color w:val="000000" w:themeColor="text1"/>
              </w:rPr>
            </w:pPr>
            <w:r>
              <w:rPr>
                <w:rFonts w:cs="Times"/>
                <w:b/>
                <w:color w:val="000000" w:themeColor="text1"/>
              </w:rPr>
              <w:t>%</w:t>
            </w:r>
          </w:p>
        </w:tc>
        <w:tc>
          <w:tcPr>
            <w:tcW w:w="1428" w:type="dxa"/>
          </w:tcPr>
          <w:p w14:paraId="715A1EE8" w14:textId="77777777" w:rsidR="00B64D05" w:rsidRPr="00792B5E" w:rsidRDefault="00B64D05" w:rsidP="00115127">
            <w:pPr>
              <w:jc w:val="center"/>
              <w:rPr>
                <w:rFonts w:cs="Times"/>
                <w:b/>
                <w:color w:val="000000" w:themeColor="text1"/>
              </w:rPr>
            </w:pPr>
            <w:r w:rsidRPr="00792B5E">
              <w:rPr>
                <w:rFonts w:cs="Times"/>
                <w:b/>
                <w:color w:val="000000" w:themeColor="text1"/>
              </w:rPr>
              <w:t>Withheld</w:t>
            </w:r>
          </w:p>
        </w:tc>
        <w:tc>
          <w:tcPr>
            <w:tcW w:w="1335" w:type="dxa"/>
          </w:tcPr>
          <w:p w14:paraId="2960AF21" w14:textId="77777777" w:rsidR="00B64D05" w:rsidRPr="00792B5E" w:rsidRDefault="00B64D05" w:rsidP="00115127">
            <w:pPr>
              <w:jc w:val="center"/>
              <w:rPr>
                <w:rFonts w:cs="Times"/>
                <w:b/>
                <w:color w:val="000000" w:themeColor="text1"/>
              </w:rPr>
            </w:pPr>
            <w:r w:rsidRPr="00792B5E">
              <w:rPr>
                <w:rFonts w:cs="Times"/>
                <w:b/>
                <w:color w:val="000000" w:themeColor="text1"/>
              </w:rPr>
              <w:t>Total</w:t>
            </w:r>
          </w:p>
        </w:tc>
      </w:tr>
      <w:tr w:rsidR="00B64D05" w:rsidRPr="00792B5E" w14:paraId="5B779E7F" w14:textId="77777777" w:rsidTr="00115127">
        <w:tc>
          <w:tcPr>
            <w:tcW w:w="1648" w:type="dxa"/>
          </w:tcPr>
          <w:p w14:paraId="042C7954" w14:textId="77777777" w:rsidR="00B64D05" w:rsidRPr="00792B5E" w:rsidRDefault="00B64D05" w:rsidP="00115127">
            <w:pPr>
              <w:rPr>
                <w:rFonts w:cs="Times"/>
                <w:b/>
                <w:color w:val="000000" w:themeColor="text1"/>
              </w:rPr>
            </w:pPr>
            <w:bookmarkStart w:id="0" w:name="_Hlk116463304"/>
            <w:r w:rsidRPr="00792B5E">
              <w:rPr>
                <w:rFonts w:cs="Times"/>
                <w:b/>
                <w:color w:val="000000" w:themeColor="text1"/>
              </w:rPr>
              <w:t>Resolution 1</w:t>
            </w:r>
          </w:p>
        </w:tc>
        <w:tc>
          <w:tcPr>
            <w:tcW w:w="1200" w:type="dxa"/>
          </w:tcPr>
          <w:p w14:paraId="3937467C" w14:textId="14087BA3" w:rsidR="00B64D05" w:rsidRPr="00792B5E" w:rsidRDefault="00EC1487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195</w:t>
            </w:r>
          </w:p>
        </w:tc>
        <w:tc>
          <w:tcPr>
            <w:tcW w:w="1330" w:type="dxa"/>
          </w:tcPr>
          <w:p w14:paraId="1897DB04" w14:textId="5B67A3ED" w:rsidR="00B64D05" w:rsidRDefault="00EC1487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100</w:t>
            </w:r>
            <w:r w:rsidR="00B64D05">
              <w:rPr>
                <w:rFonts w:cs="Times"/>
                <w:color w:val="000000" w:themeColor="text1"/>
              </w:rPr>
              <w:t>.0</w:t>
            </w:r>
            <w:r>
              <w:rPr>
                <w:rFonts w:cs="Times"/>
                <w:color w:val="000000" w:themeColor="text1"/>
              </w:rPr>
              <w:t>%</w:t>
            </w:r>
          </w:p>
        </w:tc>
        <w:tc>
          <w:tcPr>
            <w:tcW w:w="1446" w:type="dxa"/>
          </w:tcPr>
          <w:p w14:paraId="14B9E55F" w14:textId="098AE354" w:rsidR="00B64D05" w:rsidRPr="00792B5E" w:rsidRDefault="005F0C55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0</w:t>
            </w:r>
          </w:p>
        </w:tc>
        <w:tc>
          <w:tcPr>
            <w:tcW w:w="1241" w:type="dxa"/>
          </w:tcPr>
          <w:p w14:paraId="3AA13AD7" w14:textId="7D13B0B4" w:rsidR="00B64D05" w:rsidRDefault="005F0C55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0.0%</w:t>
            </w:r>
          </w:p>
        </w:tc>
        <w:tc>
          <w:tcPr>
            <w:tcW w:w="1428" w:type="dxa"/>
          </w:tcPr>
          <w:p w14:paraId="565B0EF7" w14:textId="32711C45" w:rsidR="00B64D05" w:rsidRPr="00792B5E" w:rsidRDefault="005F0C55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</w:t>
            </w:r>
          </w:p>
        </w:tc>
        <w:tc>
          <w:tcPr>
            <w:tcW w:w="1335" w:type="dxa"/>
          </w:tcPr>
          <w:p w14:paraId="7E59F0CB" w14:textId="5527FD31" w:rsidR="00B64D05" w:rsidRPr="00792B5E" w:rsidRDefault="0071383A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198</w:t>
            </w:r>
          </w:p>
        </w:tc>
      </w:tr>
      <w:tr w:rsidR="00B64D05" w:rsidRPr="00792B5E" w14:paraId="0BBA124D" w14:textId="77777777" w:rsidTr="00115127">
        <w:tc>
          <w:tcPr>
            <w:tcW w:w="1648" w:type="dxa"/>
          </w:tcPr>
          <w:p w14:paraId="170846A1" w14:textId="77777777" w:rsidR="00B64D05" w:rsidRPr="00792B5E" w:rsidRDefault="00B64D05" w:rsidP="00115127">
            <w:pPr>
              <w:rPr>
                <w:rFonts w:cs="Times"/>
                <w:b/>
                <w:color w:val="000000" w:themeColor="text1"/>
              </w:rPr>
            </w:pPr>
            <w:r w:rsidRPr="00792B5E">
              <w:rPr>
                <w:rFonts w:cs="Times"/>
                <w:b/>
                <w:color w:val="000000" w:themeColor="text1"/>
              </w:rPr>
              <w:t>Resolution 2</w:t>
            </w:r>
          </w:p>
        </w:tc>
        <w:tc>
          <w:tcPr>
            <w:tcW w:w="1200" w:type="dxa"/>
          </w:tcPr>
          <w:p w14:paraId="338A55D2" w14:textId="60AEEC6E" w:rsidR="00B64D05" w:rsidRPr="00792B5E" w:rsidRDefault="00EC1487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195</w:t>
            </w:r>
          </w:p>
        </w:tc>
        <w:tc>
          <w:tcPr>
            <w:tcW w:w="1330" w:type="dxa"/>
          </w:tcPr>
          <w:p w14:paraId="5D0B3021" w14:textId="657522AC" w:rsidR="00B64D05" w:rsidRDefault="00EC1487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100.0%</w:t>
            </w:r>
          </w:p>
        </w:tc>
        <w:tc>
          <w:tcPr>
            <w:tcW w:w="1446" w:type="dxa"/>
          </w:tcPr>
          <w:p w14:paraId="11424FD6" w14:textId="19293E75" w:rsidR="00B64D05" w:rsidRPr="00792B5E" w:rsidRDefault="005F0C55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0</w:t>
            </w:r>
          </w:p>
        </w:tc>
        <w:tc>
          <w:tcPr>
            <w:tcW w:w="1241" w:type="dxa"/>
          </w:tcPr>
          <w:p w14:paraId="37FD8329" w14:textId="46010AE6" w:rsidR="00B64D05" w:rsidRDefault="005F0C55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0.0%</w:t>
            </w:r>
          </w:p>
        </w:tc>
        <w:tc>
          <w:tcPr>
            <w:tcW w:w="1428" w:type="dxa"/>
          </w:tcPr>
          <w:p w14:paraId="139D7B23" w14:textId="62B8B327" w:rsidR="00B64D05" w:rsidRPr="00792B5E" w:rsidRDefault="005F0C55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</w:t>
            </w:r>
          </w:p>
        </w:tc>
        <w:tc>
          <w:tcPr>
            <w:tcW w:w="1335" w:type="dxa"/>
          </w:tcPr>
          <w:p w14:paraId="1B89ACE2" w14:textId="5E15F44B" w:rsidR="00B64D05" w:rsidRPr="00792B5E" w:rsidRDefault="0071383A" w:rsidP="00115127">
            <w:pPr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198</w:t>
            </w:r>
          </w:p>
        </w:tc>
      </w:tr>
      <w:bookmarkEnd w:id="0"/>
    </w:tbl>
    <w:p w14:paraId="566CD899" w14:textId="77777777" w:rsidR="0021569F" w:rsidRDefault="0021569F" w:rsidP="0021569F">
      <w:pPr>
        <w:rPr>
          <w:rFonts w:ascii="Arial" w:hAnsi="Arial" w:cs="Arial"/>
          <w:lang w:val="en-US"/>
        </w:rPr>
      </w:pPr>
    </w:p>
    <w:p w14:paraId="190B00F5" w14:textId="77777777" w:rsidR="00B64D05" w:rsidRDefault="00B64D05" w:rsidP="0021569F">
      <w:pPr>
        <w:rPr>
          <w:rFonts w:ascii="Arial" w:hAnsi="Arial" w:cs="Arial"/>
          <w:lang w:val="en-US"/>
        </w:rPr>
      </w:pPr>
    </w:p>
    <w:p w14:paraId="7DE955EC" w14:textId="77777777" w:rsidR="00B64D05" w:rsidRDefault="00B64D05" w:rsidP="0021569F">
      <w:pPr>
        <w:rPr>
          <w:rFonts w:ascii="Arial" w:hAnsi="Arial" w:cs="Arial"/>
          <w:lang w:val="en-US"/>
        </w:rPr>
      </w:pPr>
    </w:p>
    <w:p w14:paraId="334BFD1B" w14:textId="77777777" w:rsidR="00B64D05" w:rsidRDefault="00B64D05" w:rsidP="0021569F">
      <w:pPr>
        <w:rPr>
          <w:rFonts w:ascii="Arial" w:hAnsi="Arial" w:cs="Arial"/>
          <w:lang w:val="en-US"/>
        </w:rPr>
      </w:pPr>
    </w:p>
    <w:p w14:paraId="161583D7" w14:textId="77777777" w:rsidR="00B64D05" w:rsidRDefault="00B64D05" w:rsidP="0021569F">
      <w:pPr>
        <w:rPr>
          <w:rFonts w:ascii="Arial" w:hAnsi="Arial" w:cs="Arial"/>
          <w:lang w:val="en-US"/>
        </w:rPr>
      </w:pPr>
    </w:p>
    <w:p w14:paraId="377980C0" w14:textId="4B4D2296" w:rsidR="005C348C" w:rsidRDefault="005C348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6EE191F2" w14:textId="3B010DC5" w:rsidR="005C348C" w:rsidRDefault="005C348C" w:rsidP="0021569F">
      <w:pPr>
        <w:rPr>
          <w:rFonts w:ascii="Arial" w:hAnsi="Arial" w:cs="Arial"/>
          <w:lang w:val="en-US"/>
        </w:rPr>
      </w:pPr>
      <w:r w:rsidRPr="001D22C2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Attendees</w:t>
      </w: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941"/>
      </w:tblGrid>
      <w:tr w:rsidR="005C348C" w:rsidRPr="005C348C" w14:paraId="100FCB12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8C00527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Joanna</w:t>
            </w:r>
          </w:p>
        </w:tc>
        <w:tc>
          <w:tcPr>
            <w:tcW w:w="1941" w:type="dxa"/>
            <w:noWrap/>
            <w:vAlign w:val="bottom"/>
            <w:hideMark/>
          </w:tcPr>
          <w:p w14:paraId="499263E9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Buckley</w:t>
            </w:r>
          </w:p>
        </w:tc>
      </w:tr>
      <w:tr w:rsidR="005C348C" w:rsidRPr="005C348C" w14:paraId="7629EF32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48EE3AD2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Catherine</w:t>
            </w:r>
          </w:p>
        </w:tc>
        <w:tc>
          <w:tcPr>
            <w:tcW w:w="1941" w:type="dxa"/>
            <w:noWrap/>
            <w:vAlign w:val="bottom"/>
            <w:hideMark/>
          </w:tcPr>
          <w:p w14:paraId="7653567D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Anderson</w:t>
            </w:r>
          </w:p>
        </w:tc>
      </w:tr>
      <w:tr w:rsidR="005C348C" w:rsidRPr="005C348C" w14:paraId="3DFC175A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41CA3FAF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Kerry</w:t>
            </w:r>
          </w:p>
        </w:tc>
        <w:tc>
          <w:tcPr>
            <w:tcW w:w="1941" w:type="dxa"/>
            <w:noWrap/>
            <w:vAlign w:val="bottom"/>
            <w:hideMark/>
          </w:tcPr>
          <w:p w14:paraId="06F9F36B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Round</w:t>
            </w:r>
          </w:p>
        </w:tc>
      </w:tr>
      <w:tr w:rsidR="005C348C" w:rsidRPr="005C348C" w14:paraId="4DA97A7A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B18BC7A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Dawn</w:t>
            </w:r>
          </w:p>
        </w:tc>
        <w:tc>
          <w:tcPr>
            <w:tcW w:w="1941" w:type="dxa"/>
            <w:noWrap/>
            <w:vAlign w:val="bottom"/>
            <w:hideMark/>
          </w:tcPr>
          <w:p w14:paraId="4F03538F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Fowler-Stevens</w:t>
            </w:r>
          </w:p>
        </w:tc>
      </w:tr>
      <w:tr w:rsidR="005C348C" w:rsidRPr="005C348C" w14:paraId="04091542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79CC78E0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Una</w:t>
            </w:r>
          </w:p>
        </w:tc>
        <w:tc>
          <w:tcPr>
            <w:tcW w:w="1941" w:type="dxa"/>
            <w:noWrap/>
            <w:vAlign w:val="bottom"/>
            <w:hideMark/>
          </w:tcPr>
          <w:p w14:paraId="3446326B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Vanriel</w:t>
            </w:r>
          </w:p>
        </w:tc>
      </w:tr>
      <w:tr w:rsidR="005C348C" w:rsidRPr="005C348C" w14:paraId="76466258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6B81250B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Manjula</w:t>
            </w:r>
          </w:p>
        </w:tc>
        <w:tc>
          <w:tcPr>
            <w:tcW w:w="1941" w:type="dxa"/>
            <w:noWrap/>
            <w:vAlign w:val="bottom"/>
            <w:hideMark/>
          </w:tcPr>
          <w:p w14:paraId="54770D4F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Shah</w:t>
            </w:r>
          </w:p>
        </w:tc>
      </w:tr>
      <w:tr w:rsidR="005C348C" w:rsidRPr="005C348C" w14:paraId="6026C792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537B139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Christian</w:t>
            </w:r>
          </w:p>
        </w:tc>
        <w:tc>
          <w:tcPr>
            <w:tcW w:w="1941" w:type="dxa"/>
            <w:noWrap/>
            <w:vAlign w:val="bottom"/>
            <w:hideMark/>
          </w:tcPr>
          <w:p w14:paraId="449696DF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Fahey</w:t>
            </w:r>
          </w:p>
        </w:tc>
      </w:tr>
      <w:tr w:rsidR="005C348C" w:rsidRPr="005C348C" w14:paraId="209F16A2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4AC30EB8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Kenneth</w:t>
            </w:r>
          </w:p>
        </w:tc>
        <w:tc>
          <w:tcPr>
            <w:tcW w:w="1941" w:type="dxa"/>
            <w:noWrap/>
            <w:vAlign w:val="bottom"/>
            <w:hideMark/>
          </w:tcPr>
          <w:p w14:paraId="38188B27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Mutabaruka</w:t>
            </w:r>
            <w:proofErr w:type="spellEnd"/>
          </w:p>
        </w:tc>
      </w:tr>
      <w:tr w:rsidR="005C348C" w:rsidRPr="005C348C" w14:paraId="4B4A7944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123418ED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1941" w:type="dxa"/>
            <w:noWrap/>
            <w:vAlign w:val="bottom"/>
            <w:hideMark/>
          </w:tcPr>
          <w:p w14:paraId="73ACE7EE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Feneley-Lamb</w:t>
            </w:r>
          </w:p>
        </w:tc>
      </w:tr>
      <w:tr w:rsidR="005C348C" w:rsidRPr="005C348C" w14:paraId="04B23B14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31AFD73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Helen</w:t>
            </w:r>
          </w:p>
        </w:tc>
        <w:tc>
          <w:tcPr>
            <w:tcW w:w="1941" w:type="dxa"/>
            <w:noWrap/>
            <w:vAlign w:val="bottom"/>
            <w:hideMark/>
          </w:tcPr>
          <w:p w14:paraId="3D79CCCA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Banda</w:t>
            </w:r>
          </w:p>
        </w:tc>
      </w:tr>
      <w:tr w:rsidR="005C348C" w:rsidRPr="005C348C" w14:paraId="5FC047BD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449122A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Ekaette</w:t>
            </w:r>
            <w:proofErr w:type="spellEnd"/>
          </w:p>
        </w:tc>
        <w:tc>
          <w:tcPr>
            <w:tcW w:w="1941" w:type="dxa"/>
            <w:noWrap/>
            <w:vAlign w:val="bottom"/>
            <w:hideMark/>
          </w:tcPr>
          <w:p w14:paraId="0EEAC626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Eka</w:t>
            </w:r>
          </w:p>
        </w:tc>
      </w:tr>
      <w:tr w:rsidR="005C348C" w:rsidRPr="005C348C" w14:paraId="7E6EDCDA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6E8D16BE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Krystyna</w:t>
            </w:r>
          </w:p>
        </w:tc>
        <w:tc>
          <w:tcPr>
            <w:tcW w:w="1941" w:type="dxa"/>
            <w:noWrap/>
            <w:vAlign w:val="bottom"/>
            <w:hideMark/>
          </w:tcPr>
          <w:p w14:paraId="35AE653E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Ferguson</w:t>
            </w:r>
          </w:p>
        </w:tc>
      </w:tr>
      <w:tr w:rsidR="005C348C" w:rsidRPr="005C348C" w14:paraId="66842282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7E1B9585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Aoife</w:t>
            </w:r>
          </w:p>
        </w:tc>
        <w:tc>
          <w:tcPr>
            <w:tcW w:w="1941" w:type="dxa"/>
            <w:noWrap/>
            <w:vAlign w:val="bottom"/>
            <w:hideMark/>
          </w:tcPr>
          <w:p w14:paraId="0344191D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Cantillon</w:t>
            </w:r>
          </w:p>
        </w:tc>
      </w:tr>
      <w:tr w:rsidR="005C348C" w:rsidRPr="005C348C" w14:paraId="2F6DF503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762CBF2D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Asadullah</w:t>
            </w:r>
          </w:p>
        </w:tc>
        <w:tc>
          <w:tcPr>
            <w:tcW w:w="1941" w:type="dxa"/>
            <w:noWrap/>
            <w:vAlign w:val="bottom"/>
            <w:hideMark/>
          </w:tcPr>
          <w:p w14:paraId="2DAF0C0C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Mahmud</w:t>
            </w:r>
          </w:p>
        </w:tc>
      </w:tr>
      <w:tr w:rsidR="005C348C" w:rsidRPr="005C348C" w14:paraId="249CFAE9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285D46F6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</w:t>
            </w:r>
          </w:p>
        </w:tc>
        <w:tc>
          <w:tcPr>
            <w:tcW w:w="1941" w:type="dxa"/>
            <w:noWrap/>
            <w:vAlign w:val="bottom"/>
            <w:hideMark/>
          </w:tcPr>
          <w:p w14:paraId="1D78212A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Mortenson</w:t>
            </w:r>
          </w:p>
        </w:tc>
      </w:tr>
      <w:tr w:rsidR="005C348C" w:rsidRPr="005C348C" w14:paraId="5995940A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35528E6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Brenda</w:t>
            </w:r>
          </w:p>
        </w:tc>
        <w:tc>
          <w:tcPr>
            <w:tcW w:w="1941" w:type="dxa"/>
            <w:noWrap/>
            <w:vAlign w:val="bottom"/>
            <w:hideMark/>
          </w:tcPr>
          <w:p w14:paraId="3B2D72B0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Giles</w:t>
            </w:r>
          </w:p>
        </w:tc>
      </w:tr>
      <w:tr w:rsidR="005C348C" w:rsidRPr="005C348C" w14:paraId="1A781BE9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5A5D361F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Kayode</w:t>
            </w:r>
          </w:p>
        </w:tc>
        <w:tc>
          <w:tcPr>
            <w:tcW w:w="1941" w:type="dxa"/>
            <w:noWrap/>
            <w:vAlign w:val="bottom"/>
            <w:hideMark/>
          </w:tcPr>
          <w:p w14:paraId="44F23215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Adewumi</w:t>
            </w:r>
          </w:p>
        </w:tc>
      </w:tr>
      <w:tr w:rsidR="005C348C" w:rsidRPr="005C348C" w14:paraId="33DF163F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CD369AD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Katie</w:t>
            </w:r>
          </w:p>
        </w:tc>
        <w:tc>
          <w:tcPr>
            <w:tcW w:w="1941" w:type="dxa"/>
            <w:noWrap/>
            <w:vAlign w:val="bottom"/>
            <w:hideMark/>
          </w:tcPr>
          <w:p w14:paraId="2589D5E2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Lurie</w:t>
            </w:r>
          </w:p>
        </w:tc>
      </w:tr>
      <w:tr w:rsidR="005C348C" w:rsidRPr="005C348C" w14:paraId="08ECB903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10652BE2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Kate</w:t>
            </w:r>
          </w:p>
        </w:tc>
        <w:tc>
          <w:tcPr>
            <w:tcW w:w="1941" w:type="dxa"/>
            <w:noWrap/>
            <w:vAlign w:val="bottom"/>
            <w:hideMark/>
          </w:tcPr>
          <w:p w14:paraId="14512B09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Massop</w:t>
            </w:r>
          </w:p>
        </w:tc>
      </w:tr>
      <w:tr w:rsidR="005C348C" w:rsidRPr="005C348C" w14:paraId="332A425F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7C82592A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Lucy</w:t>
            </w:r>
          </w:p>
        </w:tc>
        <w:tc>
          <w:tcPr>
            <w:tcW w:w="1941" w:type="dxa"/>
            <w:noWrap/>
            <w:vAlign w:val="bottom"/>
            <w:hideMark/>
          </w:tcPr>
          <w:p w14:paraId="2FA39F7D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Neville-Rolfe</w:t>
            </w:r>
          </w:p>
        </w:tc>
      </w:tr>
      <w:tr w:rsidR="005C348C" w:rsidRPr="005C348C" w14:paraId="64A779B7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774106AF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Caleb Kwame</w:t>
            </w:r>
          </w:p>
        </w:tc>
        <w:tc>
          <w:tcPr>
            <w:tcW w:w="1941" w:type="dxa"/>
            <w:noWrap/>
            <w:vAlign w:val="bottom"/>
            <w:hideMark/>
          </w:tcPr>
          <w:p w14:paraId="14AA4F0E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Penneh</w:t>
            </w:r>
            <w:proofErr w:type="spellEnd"/>
          </w:p>
        </w:tc>
      </w:tr>
      <w:tr w:rsidR="005C348C" w:rsidRPr="005C348C" w14:paraId="0B8AC99A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7F55313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941" w:type="dxa"/>
            <w:noWrap/>
            <w:vAlign w:val="bottom"/>
            <w:hideMark/>
          </w:tcPr>
          <w:p w14:paraId="6980C176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Kyle</w:t>
            </w:r>
          </w:p>
        </w:tc>
      </w:tr>
      <w:tr w:rsidR="005C348C" w:rsidRPr="005C348C" w14:paraId="1D50F143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6664C47A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Victoria</w:t>
            </w:r>
          </w:p>
        </w:tc>
        <w:tc>
          <w:tcPr>
            <w:tcW w:w="1941" w:type="dxa"/>
            <w:noWrap/>
            <w:vAlign w:val="bottom"/>
            <w:hideMark/>
          </w:tcPr>
          <w:p w14:paraId="42D26A9D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Geroe</w:t>
            </w:r>
            <w:proofErr w:type="spellEnd"/>
          </w:p>
        </w:tc>
      </w:tr>
      <w:tr w:rsidR="005C348C" w:rsidRPr="005C348C" w14:paraId="6EFF4DC6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5F472E6B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Cynthia</w:t>
            </w:r>
          </w:p>
        </w:tc>
        <w:tc>
          <w:tcPr>
            <w:tcW w:w="1941" w:type="dxa"/>
            <w:noWrap/>
            <w:vAlign w:val="bottom"/>
            <w:hideMark/>
          </w:tcPr>
          <w:p w14:paraId="48CCAC6B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Mora Spencer</w:t>
            </w:r>
          </w:p>
        </w:tc>
      </w:tr>
      <w:tr w:rsidR="005C348C" w:rsidRPr="005C348C" w14:paraId="31CB7755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53579B0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Abibat</w:t>
            </w:r>
          </w:p>
        </w:tc>
        <w:tc>
          <w:tcPr>
            <w:tcW w:w="1941" w:type="dxa"/>
            <w:noWrap/>
            <w:vAlign w:val="bottom"/>
            <w:hideMark/>
          </w:tcPr>
          <w:p w14:paraId="62E2CC7B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Oloyede</w:t>
            </w:r>
          </w:p>
        </w:tc>
      </w:tr>
      <w:tr w:rsidR="005C348C" w:rsidRPr="005C348C" w14:paraId="13F3851D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65ADB9E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Tullia</w:t>
            </w:r>
          </w:p>
        </w:tc>
        <w:tc>
          <w:tcPr>
            <w:tcW w:w="1941" w:type="dxa"/>
            <w:noWrap/>
            <w:vAlign w:val="bottom"/>
            <w:hideMark/>
          </w:tcPr>
          <w:p w14:paraId="54C13AA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Ible</w:t>
            </w:r>
          </w:p>
        </w:tc>
      </w:tr>
      <w:tr w:rsidR="005C348C" w:rsidRPr="005C348C" w14:paraId="79532019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04673B8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Hlupekire</w:t>
            </w:r>
          </w:p>
        </w:tc>
        <w:tc>
          <w:tcPr>
            <w:tcW w:w="1941" w:type="dxa"/>
            <w:noWrap/>
            <w:vAlign w:val="bottom"/>
            <w:hideMark/>
          </w:tcPr>
          <w:p w14:paraId="29D2069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Chalamba</w:t>
            </w:r>
          </w:p>
        </w:tc>
      </w:tr>
      <w:tr w:rsidR="005C348C" w:rsidRPr="005C348C" w14:paraId="2BB3C050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503607D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Suzyo</w:t>
            </w:r>
          </w:p>
        </w:tc>
        <w:tc>
          <w:tcPr>
            <w:tcW w:w="1941" w:type="dxa"/>
            <w:noWrap/>
            <w:vAlign w:val="bottom"/>
            <w:hideMark/>
          </w:tcPr>
          <w:p w14:paraId="6D994332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Ngandu</w:t>
            </w:r>
          </w:p>
        </w:tc>
      </w:tr>
      <w:tr w:rsidR="005C348C" w:rsidRPr="005C348C" w14:paraId="31A4A13E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29E58D50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Elisa</w:t>
            </w:r>
          </w:p>
        </w:tc>
        <w:tc>
          <w:tcPr>
            <w:tcW w:w="1941" w:type="dxa"/>
            <w:noWrap/>
            <w:vAlign w:val="bottom"/>
            <w:hideMark/>
          </w:tcPr>
          <w:p w14:paraId="666AFE2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Sgubin</w:t>
            </w:r>
            <w:proofErr w:type="spellEnd"/>
          </w:p>
        </w:tc>
      </w:tr>
      <w:tr w:rsidR="005C348C" w:rsidRPr="005C348C" w14:paraId="469AD8D6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13CA8C29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Nana</w:t>
            </w:r>
          </w:p>
        </w:tc>
        <w:tc>
          <w:tcPr>
            <w:tcW w:w="1941" w:type="dxa"/>
            <w:noWrap/>
            <w:vAlign w:val="bottom"/>
            <w:hideMark/>
          </w:tcPr>
          <w:p w14:paraId="5C6FC30E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Arthur</w:t>
            </w:r>
          </w:p>
        </w:tc>
      </w:tr>
      <w:tr w:rsidR="005C348C" w:rsidRPr="005C348C" w14:paraId="3F9DAD94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3D7D6109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Anthony</w:t>
            </w:r>
          </w:p>
        </w:tc>
        <w:tc>
          <w:tcPr>
            <w:tcW w:w="1941" w:type="dxa"/>
            <w:noWrap/>
            <w:vAlign w:val="bottom"/>
            <w:hideMark/>
          </w:tcPr>
          <w:p w14:paraId="0E00613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Corriette</w:t>
            </w:r>
          </w:p>
        </w:tc>
      </w:tr>
      <w:tr w:rsidR="005C348C" w:rsidRPr="005C348C" w14:paraId="4643AF21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1F18EE9E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1941" w:type="dxa"/>
            <w:noWrap/>
            <w:vAlign w:val="bottom"/>
            <w:hideMark/>
          </w:tcPr>
          <w:p w14:paraId="1A86F3CD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Osborne</w:t>
            </w:r>
          </w:p>
        </w:tc>
      </w:tr>
      <w:tr w:rsidR="005C348C" w:rsidRPr="005C348C" w14:paraId="53629801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2DA24C8C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Kranthi</w:t>
            </w:r>
          </w:p>
        </w:tc>
        <w:tc>
          <w:tcPr>
            <w:tcW w:w="1941" w:type="dxa"/>
            <w:noWrap/>
            <w:vAlign w:val="bottom"/>
            <w:hideMark/>
          </w:tcPr>
          <w:p w14:paraId="465F5C3E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Guggilla</w:t>
            </w:r>
            <w:proofErr w:type="spellEnd"/>
          </w:p>
        </w:tc>
      </w:tr>
      <w:tr w:rsidR="005C348C" w:rsidRPr="005C348C" w14:paraId="20F1AA1A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86E4445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Gifty</w:t>
            </w:r>
          </w:p>
        </w:tc>
        <w:tc>
          <w:tcPr>
            <w:tcW w:w="1941" w:type="dxa"/>
            <w:noWrap/>
            <w:vAlign w:val="bottom"/>
            <w:hideMark/>
          </w:tcPr>
          <w:p w14:paraId="093DBFBF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Annan</w:t>
            </w:r>
          </w:p>
        </w:tc>
      </w:tr>
      <w:tr w:rsidR="005C348C" w:rsidRPr="005C348C" w14:paraId="0C544116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72176542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Robert</w:t>
            </w:r>
          </w:p>
        </w:tc>
        <w:tc>
          <w:tcPr>
            <w:tcW w:w="1941" w:type="dxa"/>
            <w:noWrap/>
            <w:vAlign w:val="bottom"/>
            <w:hideMark/>
          </w:tcPr>
          <w:p w14:paraId="06948F90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Evans</w:t>
            </w:r>
          </w:p>
        </w:tc>
      </w:tr>
      <w:tr w:rsidR="005C348C" w:rsidRPr="005C348C" w14:paraId="63488293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17519E32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Heeraman</w:t>
            </w:r>
          </w:p>
        </w:tc>
        <w:tc>
          <w:tcPr>
            <w:tcW w:w="1941" w:type="dxa"/>
            <w:noWrap/>
            <w:vAlign w:val="bottom"/>
            <w:hideMark/>
          </w:tcPr>
          <w:p w14:paraId="312E964B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Jowaheer</w:t>
            </w:r>
          </w:p>
        </w:tc>
      </w:tr>
      <w:tr w:rsidR="005C348C" w:rsidRPr="005C348C" w14:paraId="3591F319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6FC63E9B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Deloris</w:t>
            </w:r>
          </w:p>
        </w:tc>
        <w:tc>
          <w:tcPr>
            <w:tcW w:w="1941" w:type="dxa"/>
            <w:noWrap/>
            <w:vAlign w:val="bottom"/>
            <w:hideMark/>
          </w:tcPr>
          <w:p w14:paraId="235CAE28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Evans</w:t>
            </w:r>
          </w:p>
        </w:tc>
      </w:tr>
      <w:tr w:rsidR="005C348C" w:rsidRPr="005C348C" w14:paraId="190CB1A7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3B27D342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Archita</w:t>
            </w:r>
          </w:p>
        </w:tc>
        <w:tc>
          <w:tcPr>
            <w:tcW w:w="1941" w:type="dxa"/>
            <w:noWrap/>
            <w:vAlign w:val="bottom"/>
            <w:hideMark/>
          </w:tcPr>
          <w:p w14:paraId="01E0684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Sehgal</w:t>
            </w:r>
          </w:p>
        </w:tc>
      </w:tr>
      <w:tr w:rsidR="005C348C" w:rsidRPr="005C348C" w14:paraId="400FDF99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170808F2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Robert</w:t>
            </w:r>
          </w:p>
        </w:tc>
        <w:tc>
          <w:tcPr>
            <w:tcW w:w="1941" w:type="dxa"/>
            <w:noWrap/>
            <w:vAlign w:val="bottom"/>
            <w:hideMark/>
          </w:tcPr>
          <w:p w14:paraId="2A4BFC04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Gilmore</w:t>
            </w:r>
          </w:p>
        </w:tc>
      </w:tr>
      <w:tr w:rsidR="005C348C" w:rsidRPr="005C348C" w14:paraId="737D653C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00370AD9" w14:textId="77777777" w:rsidR="005C348C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Marvia</w:t>
            </w:r>
          </w:p>
        </w:tc>
        <w:tc>
          <w:tcPr>
            <w:tcW w:w="1941" w:type="dxa"/>
            <w:noWrap/>
            <w:vAlign w:val="bottom"/>
            <w:hideMark/>
          </w:tcPr>
          <w:p w14:paraId="5AA7D403" w14:textId="7EB91DE3" w:rsidR="00626F01" w:rsidRPr="005C348C" w:rsidRDefault="005C348C" w:rsidP="005C34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C3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Williams</w:t>
            </w:r>
          </w:p>
        </w:tc>
      </w:tr>
      <w:tr w:rsidR="00626F01" w:rsidRPr="001D22C2" w14:paraId="1918257E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57DCC93A" w14:textId="77777777" w:rsidR="00626F01" w:rsidRPr="001D22C2" w:rsidRDefault="00626F01" w:rsidP="00626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Anthony</w:t>
            </w:r>
          </w:p>
        </w:tc>
        <w:tc>
          <w:tcPr>
            <w:tcW w:w="1941" w:type="dxa"/>
            <w:noWrap/>
            <w:vAlign w:val="bottom"/>
            <w:hideMark/>
          </w:tcPr>
          <w:p w14:paraId="4C20959A" w14:textId="77777777" w:rsidR="00626F01" w:rsidRPr="001D22C2" w:rsidRDefault="00626F01" w:rsidP="00626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Farndon</w:t>
            </w:r>
          </w:p>
        </w:tc>
      </w:tr>
      <w:tr w:rsidR="00626F01" w:rsidRPr="001D22C2" w14:paraId="22307AF7" w14:textId="77777777" w:rsidTr="001D22C2">
        <w:trPr>
          <w:trHeight w:val="290"/>
        </w:trPr>
        <w:tc>
          <w:tcPr>
            <w:tcW w:w="1740" w:type="dxa"/>
            <w:noWrap/>
            <w:vAlign w:val="bottom"/>
            <w:hideMark/>
          </w:tcPr>
          <w:p w14:paraId="4E62FF81" w14:textId="77777777" w:rsidR="00626F01" w:rsidRPr="001D22C2" w:rsidRDefault="00626F01" w:rsidP="00626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Hlupekire</w:t>
            </w:r>
          </w:p>
        </w:tc>
        <w:tc>
          <w:tcPr>
            <w:tcW w:w="1941" w:type="dxa"/>
            <w:noWrap/>
            <w:vAlign w:val="bottom"/>
            <w:hideMark/>
          </w:tcPr>
          <w:p w14:paraId="46F0E290" w14:textId="77777777" w:rsidR="00626F01" w:rsidRPr="001D22C2" w:rsidRDefault="00626F01" w:rsidP="00626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Chalamba</w:t>
            </w:r>
          </w:p>
        </w:tc>
      </w:tr>
      <w:tr w:rsidR="00B82D4B" w:rsidRPr="001D22C2" w14:paraId="3DAD50AD" w14:textId="77777777" w:rsidTr="008D5427">
        <w:trPr>
          <w:trHeight w:val="290"/>
        </w:trPr>
        <w:tc>
          <w:tcPr>
            <w:tcW w:w="1740" w:type="dxa"/>
            <w:noWrap/>
          </w:tcPr>
          <w:p w14:paraId="458EE740" w14:textId="1FC80560" w:rsidR="00B82D4B" w:rsidRPr="00B82D4B" w:rsidRDefault="00B82D4B" w:rsidP="00B82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82D4B">
              <w:rPr>
                <w:rFonts w:ascii="Arial" w:hAnsi="Arial" w:cs="Arial"/>
                <w:sz w:val="24"/>
                <w:szCs w:val="24"/>
              </w:rPr>
              <w:t>Johana</w:t>
            </w:r>
          </w:p>
        </w:tc>
        <w:tc>
          <w:tcPr>
            <w:tcW w:w="1941" w:type="dxa"/>
            <w:noWrap/>
          </w:tcPr>
          <w:p w14:paraId="164A5BB8" w14:textId="5782F762" w:rsidR="00B82D4B" w:rsidRPr="00B82D4B" w:rsidRDefault="00B82D4B" w:rsidP="00B82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82D4B">
              <w:rPr>
                <w:rFonts w:ascii="Arial" w:hAnsi="Arial" w:cs="Arial"/>
                <w:sz w:val="24"/>
                <w:szCs w:val="24"/>
              </w:rPr>
              <w:t>Woodruff</w:t>
            </w:r>
          </w:p>
        </w:tc>
      </w:tr>
    </w:tbl>
    <w:p w14:paraId="0F0F2210" w14:textId="77777777" w:rsidR="005C348C" w:rsidRPr="0021569F" w:rsidRDefault="005C348C" w:rsidP="001D22C2">
      <w:pPr>
        <w:rPr>
          <w:rFonts w:ascii="Arial" w:hAnsi="Arial" w:cs="Arial"/>
          <w:lang w:val="en-US"/>
        </w:rPr>
      </w:pPr>
    </w:p>
    <w:sectPr w:rsidR="005C348C" w:rsidRPr="00215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3E9"/>
    <w:multiLevelType w:val="hybridMultilevel"/>
    <w:tmpl w:val="F2FA0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97857"/>
    <w:multiLevelType w:val="hybridMultilevel"/>
    <w:tmpl w:val="21089CCC"/>
    <w:lvl w:ilvl="0" w:tplc="5D68EB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4692F"/>
    <w:multiLevelType w:val="hybridMultilevel"/>
    <w:tmpl w:val="329626F4"/>
    <w:lvl w:ilvl="0" w:tplc="9F8E741E">
      <w:start w:val="1"/>
      <w:numFmt w:val="decimal"/>
      <w:lvlText w:val="%1"/>
      <w:lvlJc w:val="left"/>
      <w:pPr>
        <w:ind w:left="722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E82B38"/>
    <w:multiLevelType w:val="hybridMultilevel"/>
    <w:tmpl w:val="9580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B1102"/>
    <w:multiLevelType w:val="hybridMultilevel"/>
    <w:tmpl w:val="3D3C745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08D19B0"/>
    <w:multiLevelType w:val="hybridMultilevel"/>
    <w:tmpl w:val="1298A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B11ED"/>
    <w:multiLevelType w:val="hybridMultilevel"/>
    <w:tmpl w:val="DFFA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49436">
    <w:abstractNumId w:val="6"/>
  </w:num>
  <w:num w:numId="2" w16cid:durableId="1028488703">
    <w:abstractNumId w:val="4"/>
  </w:num>
  <w:num w:numId="3" w16cid:durableId="1900087681">
    <w:abstractNumId w:val="3"/>
  </w:num>
  <w:num w:numId="4" w16cid:durableId="1946107242">
    <w:abstractNumId w:val="0"/>
  </w:num>
  <w:num w:numId="5" w16cid:durableId="1012758130">
    <w:abstractNumId w:val="1"/>
  </w:num>
  <w:num w:numId="6" w16cid:durableId="310795979">
    <w:abstractNumId w:val="2"/>
  </w:num>
  <w:num w:numId="7" w16cid:durableId="189230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32"/>
    <w:rsid w:val="00020917"/>
    <w:rsid w:val="000215A8"/>
    <w:rsid w:val="000332C5"/>
    <w:rsid w:val="000337B1"/>
    <w:rsid w:val="000343C8"/>
    <w:rsid w:val="00052AEC"/>
    <w:rsid w:val="000601BD"/>
    <w:rsid w:val="0006051A"/>
    <w:rsid w:val="0006162E"/>
    <w:rsid w:val="00085933"/>
    <w:rsid w:val="00094EA2"/>
    <w:rsid w:val="000C1524"/>
    <w:rsid w:val="000D7F3E"/>
    <w:rsid w:val="00117E8A"/>
    <w:rsid w:val="00136C86"/>
    <w:rsid w:val="00137768"/>
    <w:rsid w:val="0016249D"/>
    <w:rsid w:val="00183D1B"/>
    <w:rsid w:val="001974D5"/>
    <w:rsid w:val="001A5328"/>
    <w:rsid w:val="001B14BE"/>
    <w:rsid w:val="001B709D"/>
    <w:rsid w:val="001C5BD4"/>
    <w:rsid w:val="001D143E"/>
    <w:rsid w:val="001D22C2"/>
    <w:rsid w:val="0021569F"/>
    <w:rsid w:val="00216347"/>
    <w:rsid w:val="00237A58"/>
    <w:rsid w:val="0024379C"/>
    <w:rsid w:val="00243D02"/>
    <w:rsid w:val="00256468"/>
    <w:rsid w:val="0027081B"/>
    <w:rsid w:val="00284F05"/>
    <w:rsid w:val="002B56D0"/>
    <w:rsid w:val="002C664A"/>
    <w:rsid w:val="002D3E75"/>
    <w:rsid w:val="002E2F84"/>
    <w:rsid w:val="002F47D1"/>
    <w:rsid w:val="002F7688"/>
    <w:rsid w:val="00305210"/>
    <w:rsid w:val="0031785D"/>
    <w:rsid w:val="003222B6"/>
    <w:rsid w:val="0032351F"/>
    <w:rsid w:val="0033242C"/>
    <w:rsid w:val="00354C15"/>
    <w:rsid w:val="00365133"/>
    <w:rsid w:val="00372635"/>
    <w:rsid w:val="0037414B"/>
    <w:rsid w:val="00374C7F"/>
    <w:rsid w:val="0037698C"/>
    <w:rsid w:val="003847BB"/>
    <w:rsid w:val="003A4E21"/>
    <w:rsid w:val="003D0129"/>
    <w:rsid w:val="003D1594"/>
    <w:rsid w:val="00401C92"/>
    <w:rsid w:val="00416C02"/>
    <w:rsid w:val="00425D5B"/>
    <w:rsid w:val="00455FE1"/>
    <w:rsid w:val="0045672A"/>
    <w:rsid w:val="00461CC9"/>
    <w:rsid w:val="004640BC"/>
    <w:rsid w:val="00472544"/>
    <w:rsid w:val="00494D5F"/>
    <w:rsid w:val="004C26AB"/>
    <w:rsid w:val="004D0589"/>
    <w:rsid w:val="004D5C7A"/>
    <w:rsid w:val="004F5643"/>
    <w:rsid w:val="00515299"/>
    <w:rsid w:val="00520277"/>
    <w:rsid w:val="00530CDC"/>
    <w:rsid w:val="005368E3"/>
    <w:rsid w:val="00540F04"/>
    <w:rsid w:val="00556270"/>
    <w:rsid w:val="005741C7"/>
    <w:rsid w:val="005C348C"/>
    <w:rsid w:val="005D51FE"/>
    <w:rsid w:val="005F0C55"/>
    <w:rsid w:val="006132B1"/>
    <w:rsid w:val="00623B30"/>
    <w:rsid w:val="00626F01"/>
    <w:rsid w:val="00632B5B"/>
    <w:rsid w:val="0063409B"/>
    <w:rsid w:val="00661AE4"/>
    <w:rsid w:val="006676BD"/>
    <w:rsid w:val="00673B21"/>
    <w:rsid w:val="006854AB"/>
    <w:rsid w:val="006A6DAD"/>
    <w:rsid w:val="006C1860"/>
    <w:rsid w:val="006C6830"/>
    <w:rsid w:val="006F1831"/>
    <w:rsid w:val="006F2F52"/>
    <w:rsid w:val="006F3E31"/>
    <w:rsid w:val="006F6D5C"/>
    <w:rsid w:val="00701C99"/>
    <w:rsid w:val="0071383A"/>
    <w:rsid w:val="007328EB"/>
    <w:rsid w:val="007361D2"/>
    <w:rsid w:val="00744A32"/>
    <w:rsid w:val="0076374E"/>
    <w:rsid w:val="007760FE"/>
    <w:rsid w:val="0077639B"/>
    <w:rsid w:val="007B7D78"/>
    <w:rsid w:val="007C2916"/>
    <w:rsid w:val="007E5EDB"/>
    <w:rsid w:val="007E7200"/>
    <w:rsid w:val="00811004"/>
    <w:rsid w:val="00817B04"/>
    <w:rsid w:val="0082785B"/>
    <w:rsid w:val="00846050"/>
    <w:rsid w:val="00851D8D"/>
    <w:rsid w:val="00870755"/>
    <w:rsid w:val="008739A6"/>
    <w:rsid w:val="008931BA"/>
    <w:rsid w:val="00897494"/>
    <w:rsid w:val="00897B64"/>
    <w:rsid w:val="008A13D4"/>
    <w:rsid w:val="008A16B3"/>
    <w:rsid w:val="008B18C5"/>
    <w:rsid w:val="008B6429"/>
    <w:rsid w:val="008C1218"/>
    <w:rsid w:val="008D5B2F"/>
    <w:rsid w:val="00903A9D"/>
    <w:rsid w:val="00905927"/>
    <w:rsid w:val="009325B2"/>
    <w:rsid w:val="00950A2F"/>
    <w:rsid w:val="009707DD"/>
    <w:rsid w:val="00974EB3"/>
    <w:rsid w:val="00987CB1"/>
    <w:rsid w:val="00992BEB"/>
    <w:rsid w:val="009B176E"/>
    <w:rsid w:val="009C1C9D"/>
    <w:rsid w:val="009E5F8B"/>
    <w:rsid w:val="00A12E2F"/>
    <w:rsid w:val="00A5280B"/>
    <w:rsid w:val="00A64AC3"/>
    <w:rsid w:val="00A71D37"/>
    <w:rsid w:val="00A775DA"/>
    <w:rsid w:val="00A85ECA"/>
    <w:rsid w:val="00A925EE"/>
    <w:rsid w:val="00AB1923"/>
    <w:rsid w:val="00AB26C2"/>
    <w:rsid w:val="00AD1708"/>
    <w:rsid w:val="00AD2D38"/>
    <w:rsid w:val="00B037CA"/>
    <w:rsid w:val="00B34FC2"/>
    <w:rsid w:val="00B45912"/>
    <w:rsid w:val="00B53DC2"/>
    <w:rsid w:val="00B55323"/>
    <w:rsid w:val="00B64D05"/>
    <w:rsid w:val="00B770A0"/>
    <w:rsid w:val="00B813D9"/>
    <w:rsid w:val="00B82912"/>
    <w:rsid w:val="00B82D4B"/>
    <w:rsid w:val="00BE7A5F"/>
    <w:rsid w:val="00BF7F29"/>
    <w:rsid w:val="00C01A83"/>
    <w:rsid w:val="00C06628"/>
    <w:rsid w:val="00C10ED8"/>
    <w:rsid w:val="00C12390"/>
    <w:rsid w:val="00C42458"/>
    <w:rsid w:val="00C44B07"/>
    <w:rsid w:val="00C52164"/>
    <w:rsid w:val="00C8593A"/>
    <w:rsid w:val="00CA5185"/>
    <w:rsid w:val="00CA5F08"/>
    <w:rsid w:val="00CB04B8"/>
    <w:rsid w:val="00CB3503"/>
    <w:rsid w:val="00CE5D64"/>
    <w:rsid w:val="00CF7876"/>
    <w:rsid w:val="00D35AED"/>
    <w:rsid w:val="00D375C9"/>
    <w:rsid w:val="00D40353"/>
    <w:rsid w:val="00D41E20"/>
    <w:rsid w:val="00D44525"/>
    <w:rsid w:val="00D56B66"/>
    <w:rsid w:val="00D6783E"/>
    <w:rsid w:val="00D759EE"/>
    <w:rsid w:val="00D86BB2"/>
    <w:rsid w:val="00D91706"/>
    <w:rsid w:val="00D91C21"/>
    <w:rsid w:val="00D96870"/>
    <w:rsid w:val="00DA3368"/>
    <w:rsid w:val="00DB04C2"/>
    <w:rsid w:val="00DD5866"/>
    <w:rsid w:val="00DD75C7"/>
    <w:rsid w:val="00E03B7C"/>
    <w:rsid w:val="00E0738F"/>
    <w:rsid w:val="00E15FEA"/>
    <w:rsid w:val="00E21FBD"/>
    <w:rsid w:val="00E22307"/>
    <w:rsid w:val="00E23219"/>
    <w:rsid w:val="00E320D6"/>
    <w:rsid w:val="00E338B4"/>
    <w:rsid w:val="00E41D2A"/>
    <w:rsid w:val="00E45422"/>
    <w:rsid w:val="00E5697F"/>
    <w:rsid w:val="00E75A00"/>
    <w:rsid w:val="00E77842"/>
    <w:rsid w:val="00E807DF"/>
    <w:rsid w:val="00E83D3A"/>
    <w:rsid w:val="00E87CD2"/>
    <w:rsid w:val="00E93038"/>
    <w:rsid w:val="00EC1487"/>
    <w:rsid w:val="00ED1D84"/>
    <w:rsid w:val="00EE56C4"/>
    <w:rsid w:val="00EE62A8"/>
    <w:rsid w:val="00EF447F"/>
    <w:rsid w:val="00F06CAF"/>
    <w:rsid w:val="00F5113A"/>
    <w:rsid w:val="00F57DCC"/>
    <w:rsid w:val="00F773A4"/>
    <w:rsid w:val="00F90BEA"/>
    <w:rsid w:val="00FA79F4"/>
    <w:rsid w:val="00FA7B19"/>
    <w:rsid w:val="00FC191F"/>
    <w:rsid w:val="00FD2555"/>
    <w:rsid w:val="030E05F9"/>
    <w:rsid w:val="1432FD28"/>
    <w:rsid w:val="14701E2A"/>
    <w:rsid w:val="17B54895"/>
    <w:rsid w:val="181FEC9E"/>
    <w:rsid w:val="1B5E3AD8"/>
    <w:rsid w:val="1B967A74"/>
    <w:rsid w:val="2119E68B"/>
    <w:rsid w:val="22B13AFE"/>
    <w:rsid w:val="285BD51F"/>
    <w:rsid w:val="2BB124B2"/>
    <w:rsid w:val="2DA9C167"/>
    <w:rsid w:val="2F93F379"/>
    <w:rsid w:val="3091CC36"/>
    <w:rsid w:val="32F0B8DC"/>
    <w:rsid w:val="339DDB4D"/>
    <w:rsid w:val="33D729F4"/>
    <w:rsid w:val="3B863099"/>
    <w:rsid w:val="3C8FFA61"/>
    <w:rsid w:val="3E44FC18"/>
    <w:rsid w:val="3EE927F3"/>
    <w:rsid w:val="3F058935"/>
    <w:rsid w:val="458AEBE7"/>
    <w:rsid w:val="49BC18CA"/>
    <w:rsid w:val="4BF97182"/>
    <w:rsid w:val="4D1CF71F"/>
    <w:rsid w:val="4F0CC6E4"/>
    <w:rsid w:val="52DF1550"/>
    <w:rsid w:val="572EE7B5"/>
    <w:rsid w:val="579E18E3"/>
    <w:rsid w:val="5AD37FFF"/>
    <w:rsid w:val="5CBE0350"/>
    <w:rsid w:val="609A3A2A"/>
    <w:rsid w:val="68854E88"/>
    <w:rsid w:val="6A198DB2"/>
    <w:rsid w:val="6A2986D3"/>
    <w:rsid w:val="6B8902AB"/>
    <w:rsid w:val="6B90950F"/>
    <w:rsid w:val="6C199D75"/>
    <w:rsid w:val="6F37D4F2"/>
    <w:rsid w:val="6FDC71B9"/>
    <w:rsid w:val="6FFD4FE7"/>
    <w:rsid w:val="71A84F54"/>
    <w:rsid w:val="750F3414"/>
    <w:rsid w:val="7584F787"/>
    <w:rsid w:val="79CC9AC1"/>
    <w:rsid w:val="7F44D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BE29"/>
  <w15:docId w15:val="{F53BA8A6-95E1-493E-931E-42B9CC66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D37"/>
    <w:pPr>
      <w:ind w:left="720"/>
      <w:contextualSpacing/>
    </w:pPr>
  </w:style>
  <w:style w:type="table" w:styleId="TableGrid">
    <w:name w:val="Table Grid"/>
    <w:basedOn w:val="TableNormal"/>
    <w:uiPriority w:val="39"/>
    <w:rsid w:val="00B64D0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9a084-79d8-4b34-a7c9-57433a191fae" xsi:nil="true"/>
    <lcf76f155ced4ddcb4097134ff3c332f xmlns="0f5a749c-e5f1-473f-800d-231cf5809043">
      <Terms xmlns="http://schemas.microsoft.com/office/infopath/2007/PartnerControls"/>
    </lcf76f155ced4ddcb4097134ff3c332f>
    <SharedWithUsers xmlns="2d19a084-79d8-4b34-a7c9-57433a191fae">
      <UserInfo>
        <DisplayName>Cynthia Mora-Spencer ACG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9EECACF26084DA927E6F0295B62D5" ma:contentTypeVersion="19" ma:contentTypeDescription="Create a new document." ma:contentTypeScope="" ma:versionID="d555f2366ed0e8f673db323a6ac0b007">
  <xsd:schema xmlns:xsd="http://www.w3.org/2001/XMLSchema" xmlns:xs="http://www.w3.org/2001/XMLSchema" xmlns:p="http://schemas.microsoft.com/office/2006/metadata/properties" xmlns:ns2="0f5a749c-e5f1-473f-800d-231cf5809043" xmlns:ns3="2d19a084-79d8-4b34-a7c9-57433a191fae" targetNamespace="http://schemas.microsoft.com/office/2006/metadata/properties" ma:root="true" ma:fieldsID="4171503bb7dd21c0b04dd825c578354b" ns2:_="" ns3:_="">
    <xsd:import namespace="0f5a749c-e5f1-473f-800d-231cf5809043"/>
    <xsd:import namespace="2d19a084-79d8-4b34-a7c9-57433a191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749c-e5f1-473f-800d-231cf5809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8e5a84-b696-4dd1-ad07-bac7d2707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9a084-79d8-4b34-a7c9-57433a191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ef7aec-e761-4aae-b230-3e49a217e975}" ma:internalName="TaxCatchAll" ma:showField="CatchAllData" ma:web="2d19a084-79d8-4b34-a7c9-57433a191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0B8EB-41FF-42A1-96DA-822001E23B3F}">
  <ds:schemaRefs>
    <ds:schemaRef ds:uri="http://schemas.microsoft.com/office/2006/metadata/properties"/>
    <ds:schemaRef ds:uri="http://schemas.microsoft.com/office/infopath/2007/PartnerControls"/>
    <ds:schemaRef ds:uri="2d19a084-79d8-4b34-a7c9-57433a191fae"/>
    <ds:schemaRef ds:uri="0f5a749c-e5f1-473f-800d-231cf5809043"/>
  </ds:schemaRefs>
</ds:datastoreItem>
</file>

<file path=customXml/itemProps2.xml><?xml version="1.0" encoding="utf-8"?>
<ds:datastoreItem xmlns:ds="http://schemas.openxmlformats.org/officeDocument/2006/customXml" ds:itemID="{9E2158E8-AF35-42EF-AA3D-6013BAB69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4F0F5-17EF-495D-8C66-ADF5EFE0E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a749c-e5f1-473f-800d-231cf5809043"/>
    <ds:schemaRef ds:uri="2d19a084-79d8-4b34-a7c9-57433a191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945</Words>
  <Characters>5275</Characters>
  <Application>Microsoft Office Word</Application>
  <DocSecurity>0</DocSecurity>
  <Lines>211</Lines>
  <Paragraphs>155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Donoghue</dc:creator>
  <cp:keywords/>
  <dc:description/>
  <cp:lastModifiedBy>Ivon Sergey</cp:lastModifiedBy>
  <cp:revision>14</cp:revision>
  <dcterms:created xsi:type="dcterms:W3CDTF">2026-03-18T15:30:00Z</dcterms:created>
  <dcterms:modified xsi:type="dcterms:W3CDTF">2026-03-19T15:06:00Z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0x0101005759EECACF26084DA927E6F0295B62D5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