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FFC6" w14:textId="3B42176A" w:rsidR="00FA4E48" w:rsidRDefault="00FA4E48" w:rsidP="00FA4E48">
      <w:pPr>
        <w:spacing w:after="0" w:line="276" w:lineRule="auto"/>
        <w:rPr>
          <w:rFonts w:ascii="Arial" w:hAnsi="Arial" w:cs="Arial"/>
          <w:b/>
          <w:bCs/>
          <w:sz w:val="28"/>
          <w:szCs w:val="28"/>
          <w:lang w:val="en-US"/>
        </w:rPr>
      </w:pPr>
      <w:r w:rsidRPr="00FA4E48">
        <w:rPr>
          <w:rFonts w:ascii="Arial" w:hAnsi="Arial" w:cs="Arial"/>
          <w:b/>
          <w:bCs/>
          <w:sz w:val="22"/>
          <w:szCs w:val="22"/>
          <w:lang w:val="en-US"/>
        </w:rPr>
        <w:tab/>
      </w:r>
      <w:r w:rsidRPr="00FA4E48">
        <w:rPr>
          <w:rFonts w:ascii="Arial" w:hAnsi="Arial" w:cs="Arial"/>
          <w:b/>
          <w:bCs/>
          <w:sz w:val="22"/>
          <w:szCs w:val="22"/>
          <w:lang w:val="en-US"/>
        </w:rPr>
        <w:tab/>
      </w:r>
      <w:r w:rsidRPr="00FA4E48">
        <w:rPr>
          <w:rFonts w:ascii="Arial" w:hAnsi="Arial" w:cs="Arial"/>
          <w:b/>
          <w:bCs/>
          <w:sz w:val="22"/>
          <w:szCs w:val="22"/>
          <w:lang w:val="en-US"/>
        </w:rPr>
        <w:tab/>
      </w:r>
      <w:r w:rsidRPr="00FA4E48">
        <w:rPr>
          <w:rFonts w:ascii="Arial" w:hAnsi="Arial" w:cs="Arial"/>
          <w:b/>
          <w:bCs/>
          <w:sz w:val="22"/>
          <w:szCs w:val="22"/>
          <w:lang w:val="en-US"/>
        </w:rPr>
        <w:tab/>
      </w:r>
      <w:r w:rsidRPr="00FA4E48">
        <w:rPr>
          <w:rFonts w:ascii="Arial" w:hAnsi="Arial" w:cs="Arial"/>
          <w:b/>
          <w:bCs/>
          <w:sz w:val="22"/>
          <w:szCs w:val="22"/>
          <w:lang w:val="en-US"/>
        </w:rPr>
        <w:tab/>
      </w:r>
      <w:r w:rsidRPr="00FA4E48">
        <w:rPr>
          <w:rFonts w:ascii="Arial" w:hAnsi="Arial" w:cs="Arial"/>
          <w:b/>
          <w:bCs/>
          <w:sz w:val="22"/>
          <w:szCs w:val="22"/>
          <w:lang w:val="en-US"/>
        </w:rPr>
        <w:tab/>
      </w:r>
      <w:r w:rsidRPr="00FA4E48">
        <w:rPr>
          <w:rFonts w:ascii="Arial" w:hAnsi="Arial" w:cs="Arial"/>
          <w:b/>
          <w:bCs/>
          <w:sz w:val="22"/>
          <w:szCs w:val="22"/>
          <w:lang w:val="en-US"/>
        </w:rPr>
        <w:tab/>
      </w:r>
      <w:r w:rsidRPr="00FA4E48">
        <w:rPr>
          <w:rFonts w:ascii="Arial" w:hAnsi="Arial" w:cs="Arial"/>
          <w:b/>
          <w:bCs/>
          <w:sz w:val="22"/>
          <w:szCs w:val="22"/>
          <w:lang w:val="en-US"/>
        </w:rPr>
        <w:tab/>
      </w:r>
      <w:r w:rsidRPr="00FA4E48">
        <w:rPr>
          <w:rFonts w:ascii="Arial" w:hAnsi="Arial" w:cs="Arial"/>
          <w:b/>
          <w:bCs/>
          <w:sz w:val="22"/>
          <w:szCs w:val="22"/>
          <w:lang w:val="en-US"/>
        </w:rPr>
        <w:tab/>
      </w:r>
    </w:p>
    <w:p w14:paraId="4AA8F031" w14:textId="77777777" w:rsidR="00AA0380" w:rsidRPr="003F56F6" w:rsidRDefault="00AA0380" w:rsidP="00FA4E48">
      <w:pPr>
        <w:spacing w:after="0" w:line="276" w:lineRule="auto"/>
        <w:rPr>
          <w:rFonts w:ascii="Arial" w:hAnsi="Arial" w:cs="Arial"/>
          <w:b/>
          <w:bCs/>
          <w:sz w:val="28"/>
          <w:szCs w:val="28"/>
          <w:lang w:val="en-US"/>
        </w:rPr>
      </w:pPr>
    </w:p>
    <w:p w14:paraId="6654FA41" w14:textId="25F6D006" w:rsidR="008E7E10" w:rsidRPr="00FA4E48" w:rsidRDefault="00FA4E48" w:rsidP="00FA4E48">
      <w:pPr>
        <w:spacing w:after="0" w:line="276" w:lineRule="auto"/>
        <w:rPr>
          <w:rFonts w:ascii="Arial" w:hAnsi="Arial" w:cs="Arial"/>
          <w:b/>
          <w:bCs/>
          <w:sz w:val="28"/>
          <w:szCs w:val="28"/>
          <w:lang w:val="en-US"/>
        </w:rPr>
      </w:pPr>
      <w:r w:rsidRPr="00FA4E48">
        <w:rPr>
          <w:rFonts w:ascii="Arial" w:hAnsi="Arial" w:cs="Arial"/>
          <w:b/>
          <w:bCs/>
          <w:sz w:val="28"/>
          <w:szCs w:val="28"/>
          <w:lang w:val="en-US"/>
        </w:rPr>
        <w:t xml:space="preserve">Assessment Criteria </w:t>
      </w:r>
      <w:r w:rsidR="003F56F6">
        <w:rPr>
          <w:rFonts w:ascii="Arial" w:hAnsi="Arial" w:cs="Arial"/>
          <w:b/>
          <w:bCs/>
          <w:sz w:val="28"/>
          <w:szCs w:val="28"/>
          <w:lang w:val="en-US"/>
        </w:rPr>
        <w:t xml:space="preserve">for </w:t>
      </w:r>
      <w:r w:rsidR="00904145">
        <w:rPr>
          <w:rFonts w:ascii="Arial" w:hAnsi="Arial" w:cs="Arial"/>
          <w:b/>
          <w:bCs/>
          <w:sz w:val="28"/>
          <w:szCs w:val="28"/>
          <w:lang w:val="en-US"/>
        </w:rPr>
        <w:t xml:space="preserve">the CGIUKI </w:t>
      </w:r>
      <w:r w:rsidR="003F56F6">
        <w:rPr>
          <w:rFonts w:ascii="Arial" w:hAnsi="Arial" w:cs="Arial"/>
          <w:b/>
          <w:bCs/>
          <w:sz w:val="28"/>
          <w:szCs w:val="28"/>
          <w:lang w:val="en-US"/>
        </w:rPr>
        <w:t xml:space="preserve">Board </w:t>
      </w:r>
      <w:r w:rsidRPr="00FA4E48">
        <w:rPr>
          <w:rFonts w:ascii="Arial" w:hAnsi="Arial" w:cs="Arial"/>
          <w:b/>
          <w:bCs/>
          <w:sz w:val="28"/>
          <w:szCs w:val="28"/>
          <w:lang w:val="en-US"/>
        </w:rPr>
        <w:t>Elections 2026</w:t>
      </w:r>
    </w:p>
    <w:p w14:paraId="0000806C" w14:textId="77777777" w:rsidR="00FA4E48" w:rsidRPr="00FA4E48" w:rsidRDefault="00FA4E48" w:rsidP="00FA4E48">
      <w:pPr>
        <w:spacing w:after="0" w:line="276" w:lineRule="auto"/>
        <w:rPr>
          <w:rFonts w:ascii="Arial" w:hAnsi="Arial" w:cs="Arial"/>
          <w:b/>
          <w:bCs/>
          <w:sz w:val="22"/>
          <w:szCs w:val="22"/>
          <w:lang w:val="en-US"/>
        </w:rPr>
      </w:pPr>
    </w:p>
    <w:p w14:paraId="22EC3840" w14:textId="77777777" w:rsidR="00FA4E48" w:rsidRPr="003F56F6" w:rsidRDefault="00FA4E48" w:rsidP="003F56F6">
      <w:pPr>
        <w:pStyle w:val="ListParagraph"/>
        <w:numPr>
          <w:ilvl w:val="0"/>
          <w:numId w:val="11"/>
        </w:numPr>
        <w:spacing w:after="0" w:line="276" w:lineRule="auto"/>
        <w:rPr>
          <w:rFonts w:ascii="Arial" w:hAnsi="Arial" w:cs="Arial"/>
          <w:b/>
          <w:bCs/>
          <w:sz w:val="22"/>
          <w:szCs w:val="22"/>
          <w:lang w:val="en-US"/>
        </w:rPr>
      </w:pPr>
      <w:r w:rsidRPr="003F56F6">
        <w:rPr>
          <w:rFonts w:ascii="Arial" w:hAnsi="Arial" w:cs="Arial"/>
          <w:b/>
          <w:bCs/>
          <w:sz w:val="22"/>
          <w:szCs w:val="22"/>
          <w:lang w:val="en-US"/>
        </w:rPr>
        <w:t>Introduction</w:t>
      </w:r>
    </w:p>
    <w:p w14:paraId="5B36AABE" w14:textId="5237B8DA"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 xml:space="preserve">These Assessment Criteria </w:t>
      </w:r>
      <w:r w:rsidR="006454FC">
        <w:rPr>
          <w:rFonts w:ascii="Arial" w:hAnsi="Arial" w:cs="Arial"/>
          <w:sz w:val="22"/>
          <w:szCs w:val="22"/>
          <w:lang w:val="en-US"/>
        </w:rPr>
        <w:t xml:space="preserve">(Criteria) </w:t>
      </w:r>
      <w:r w:rsidRPr="00FA4E48">
        <w:rPr>
          <w:rFonts w:ascii="Arial" w:hAnsi="Arial" w:cs="Arial"/>
          <w:sz w:val="22"/>
          <w:szCs w:val="22"/>
          <w:lang w:val="en-US"/>
        </w:rPr>
        <w:t>set out the skills, experience and attributes against which all Candidates</w:t>
      </w:r>
      <w:r w:rsidR="00F95B0D">
        <w:rPr>
          <w:rFonts w:ascii="Arial" w:hAnsi="Arial" w:cs="Arial"/>
          <w:sz w:val="22"/>
          <w:szCs w:val="22"/>
          <w:lang w:val="en-US"/>
        </w:rPr>
        <w:t xml:space="preserve">, </w:t>
      </w:r>
      <w:r w:rsidRPr="00FA4E48">
        <w:rPr>
          <w:rFonts w:ascii="Arial" w:hAnsi="Arial" w:cs="Arial"/>
          <w:sz w:val="22"/>
          <w:szCs w:val="22"/>
          <w:lang w:val="en-US"/>
        </w:rPr>
        <w:t xml:space="preserve">including incumbents, will be assessed during the </w:t>
      </w:r>
      <w:r w:rsidR="00904145">
        <w:rPr>
          <w:rFonts w:ascii="Arial" w:hAnsi="Arial" w:cs="Arial"/>
          <w:sz w:val="22"/>
          <w:szCs w:val="22"/>
          <w:lang w:val="en-US"/>
        </w:rPr>
        <w:t>Nomination and Remuneration Committee (</w:t>
      </w:r>
      <w:r w:rsidRPr="00FA4E48">
        <w:rPr>
          <w:rFonts w:ascii="Arial" w:hAnsi="Arial" w:cs="Arial"/>
          <w:sz w:val="22"/>
          <w:szCs w:val="22"/>
          <w:lang w:val="en-US"/>
        </w:rPr>
        <w:t>NomRemCo</w:t>
      </w:r>
      <w:r w:rsidR="00904145">
        <w:rPr>
          <w:rFonts w:ascii="Arial" w:hAnsi="Arial" w:cs="Arial"/>
          <w:sz w:val="22"/>
          <w:szCs w:val="22"/>
          <w:lang w:val="en-US"/>
        </w:rPr>
        <w:t>)</w:t>
      </w:r>
      <w:r w:rsidRPr="00FA4E48">
        <w:rPr>
          <w:rFonts w:ascii="Arial" w:hAnsi="Arial" w:cs="Arial"/>
          <w:sz w:val="22"/>
          <w:szCs w:val="22"/>
          <w:lang w:val="en-US"/>
        </w:rPr>
        <w:t xml:space="preserve"> Competency Assessment Stage for the 2026 CGIUKI Board election.</w:t>
      </w:r>
    </w:p>
    <w:p w14:paraId="45F604DD" w14:textId="77777777" w:rsidR="00FA4E48" w:rsidRPr="00FA4E48" w:rsidRDefault="00FA4E48" w:rsidP="00FA4E48">
      <w:pPr>
        <w:spacing w:after="0" w:line="276" w:lineRule="auto"/>
        <w:rPr>
          <w:rFonts w:ascii="Arial" w:hAnsi="Arial" w:cs="Arial"/>
          <w:sz w:val="22"/>
          <w:szCs w:val="22"/>
          <w:lang w:val="en-US"/>
        </w:rPr>
      </w:pPr>
    </w:p>
    <w:p w14:paraId="6C11E536" w14:textId="762E617F"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 xml:space="preserve">The Criteria are derived from the </w:t>
      </w:r>
      <w:r w:rsidR="006454FC">
        <w:rPr>
          <w:rFonts w:ascii="Arial" w:hAnsi="Arial" w:cs="Arial"/>
          <w:sz w:val="22"/>
          <w:szCs w:val="22"/>
          <w:lang w:val="en-US"/>
        </w:rPr>
        <w:t xml:space="preserve">CGIUKI </w:t>
      </w:r>
      <w:r w:rsidRPr="00FA4E48">
        <w:rPr>
          <w:rFonts w:ascii="Arial" w:hAnsi="Arial" w:cs="Arial"/>
          <w:sz w:val="22"/>
          <w:szCs w:val="22"/>
          <w:lang w:val="en-US"/>
        </w:rPr>
        <w:t>Board’s Skills Matrix, which identifies the strategic capability needs of the Board and informs succession planning. Candidates must meet the required standards in these Criteria to be approved by NomRemCo to proceed to ballot.</w:t>
      </w:r>
    </w:p>
    <w:p w14:paraId="590DD528" w14:textId="77777777" w:rsidR="00FA4E48" w:rsidRPr="00FA4E48" w:rsidRDefault="00FA4E48" w:rsidP="00FA4E48">
      <w:pPr>
        <w:spacing w:after="0" w:line="276" w:lineRule="auto"/>
        <w:rPr>
          <w:rFonts w:ascii="Arial" w:hAnsi="Arial" w:cs="Arial"/>
          <w:sz w:val="22"/>
          <w:szCs w:val="22"/>
          <w:lang w:val="en-US"/>
        </w:rPr>
      </w:pPr>
    </w:p>
    <w:p w14:paraId="1AF4C6FB" w14:textId="57AC606F" w:rsidR="00FA4E48" w:rsidRPr="003F56F6" w:rsidRDefault="00FA4E48" w:rsidP="003F56F6">
      <w:pPr>
        <w:pStyle w:val="ListParagraph"/>
        <w:numPr>
          <w:ilvl w:val="0"/>
          <w:numId w:val="11"/>
        </w:numPr>
        <w:spacing w:after="0" w:line="276" w:lineRule="auto"/>
        <w:rPr>
          <w:rFonts w:ascii="Arial" w:hAnsi="Arial" w:cs="Arial"/>
          <w:b/>
          <w:bCs/>
          <w:sz w:val="22"/>
          <w:szCs w:val="22"/>
          <w:lang w:val="en-US"/>
        </w:rPr>
      </w:pPr>
      <w:r w:rsidRPr="003F56F6">
        <w:rPr>
          <w:rFonts w:ascii="Arial" w:hAnsi="Arial" w:cs="Arial"/>
          <w:b/>
          <w:bCs/>
          <w:sz w:val="22"/>
          <w:szCs w:val="22"/>
          <w:lang w:val="en-US"/>
        </w:rPr>
        <w:t>Primary Assessment Criterion - Technology and/or Digital Skills and Experience</w:t>
      </w:r>
    </w:p>
    <w:p w14:paraId="67C593AD" w14:textId="7454AB16"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Candidates should demonstrate relevant experience in digital oversight or technology</w:t>
      </w:r>
      <w:r w:rsidRPr="00FA4E48">
        <w:rPr>
          <w:rFonts w:ascii="Cambria Math" w:hAnsi="Cambria Math" w:cs="Cambria Math"/>
          <w:sz w:val="22"/>
          <w:szCs w:val="22"/>
          <w:lang w:val="en-US"/>
        </w:rPr>
        <w:t>‑</w:t>
      </w:r>
      <w:r w:rsidRPr="00FA4E48">
        <w:rPr>
          <w:rFonts w:ascii="Arial" w:hAnsi="Arial" w:cs="Arial"/>
          <w:sz w:val="22"/>
          <w:szCs w:val="22"/>
          <w:lang w:val="en-US"/>
        </w:rPr>
        <w:t>enabled change. Examples of Relevant Experience:</w:t>
      </w:r>
    </w:p>
    <w:p w14:paraId="11036AEE" w14:textId="77777777" w:rsidR="00FA4E48" w:rsidRPr="00FA4E48" w:rsidRDefault="00FA4E48" w:rsidP="00FA4E48">
      <w:pPr>
        <w:spacing w:after="0" w:line="276" w:lineRule="auto"/>
        <w:rPr>
          <w:rFonts w:ascii="Arial" w:hAnsi="Arial" w:cs="Arial"/>
          <w:sz w:val="22"/>
          <w:szCs w:val="22"/>
          <w:lang w:val="en-US"/>
        </w:rPr>
      </w:pPr>
    </w:p>
    <w:p w14:paraId="401475EB" w14:textId="77777777" w:rsidR="00FA4E48" w:rsidRPr="00FA4E48" w:rsidRDefault="00FA4E48" w:rsidP="00FA4E48">
      <w:pPr>
        <w:pStyle w:val="ListParagraph"/>
        <w:numPr>
          <w:ilvl w:val="0"/>
          <w:numId w:val="9"/>
        </w:numPr>
        <w:spacing w:after="0" w:line="276" w:lineRule="auto"/>
        <w:rPr>
          <w:rFonts w:ascii="Arial" w:hAnsi="Arial" w:cs="Arial"/>
          <w:sz w:val="22"/>
          <w:szCs w:val="22"/>
          <w:lang w:val="en-US"/>
        </w:rPr>
      </w:pPr>
      <w:r w:rsidRPr="00FA4E48">
        <w:rPr>
          <w:rFonts w:ascii="Arial" w:hAnsi="Arial" w:cs="Arial"/>
          <w:sz w:val="22"/>
          <w:szCs w:val="22"/>
          <w:lang w:val="en-US"/>
        </w:rPr>
        <w:t xml:space="preserve">Digital strategy, technology governance or transformation </w:t>
      </w:r>
      <w:proofErr w:type="spellStart"/>
      <w:r w:rsidRPr="00FA4E48">
        <w:rPr>
          <w:rFonts w:ascii="Arial" w:hAnsi="Arial" w:cs="Arial"/>
          <w:sz w:val="22"/>
          <w:szCs w:val="22"/>
          <w:lang w:val="en-US"/>
        </w:rPr>
        <w:t>programmes</w:t>
      </w:r>
      <w:proofErr w:type="spellEnd"/>
      <w:r w:rsidRPr="00FA4E48">
        <w:rPr>
          <w:rFonts w:ascii="Arial" w:hAnsi="Arial" w:cs="Arial"/>
          <w:sz w:val="22"/>
          <w:szCs w:val="22"/>
          <w:lang w:val="en-US"/>
        </w:rPr>
        <w:t>.</w:t>
      </w:r>
    </w:p>
    <w:p w14:paraId="6BFC8A91" w14:textId="77777777" w:rsidR="00FA4E48" w:rsidRPr="00FA4E48" w:rsidRDefault="00FA4E48" w:rsidP="00FA4E48">
      <w:pPr>
        <w:pStyle w:val="ListParagraph"/>
        <w:numPr>
          <w:ilvl w:val="0"/>
          <w:numId w:val="9"/>
        </w:numPr>
        <w:spacing w:after="0" w:line="276" w:lineRule="auto"/>
        <w:rPr>
          <w:rFonts w:ascii="Arial" w:hAnsi="Arial" w:cs="Arial"/>
          <w:sz w:val="22"/>
          <w:szCs w:val="22"/>
          <w:lang w:val="en-US"/>
        </w:rPr>
      </w:pPr>
      <w:r w:rsidRPr="00FA4E48">
        <w:rPr>
          <w:rFonts w:ascii="Arial" w:hAnsi="Arial" w:cs="Arial"/>
          <w:sz w:val="22"/>
          <w:szCs w:val="22"/>
          <w:lang w:val="en-US"/>
        </w:rPr>
        <w:t>Oversight of cybersecurity, AI, data governance or IT risk.</w:t>
      </w:r>
    </w:p>
    <w:p w14:paraId="525CC07B" w14:textId="77777777" w:rsidR="00FA4E48" w:rsidRPr="00FA4E48" w:rsidRDefault="00FA4E48" w:rsidP="00FA4E48">
      <w:pPr>
        <w:pStyle w:val="ListParagraph"/>
        <w:numPr>
          <w:ilvl w:val="0"/>
          <w:numId w:val="9"/>
        </w:numPr>
        <w:spacing w:after="0" w:line="276" w:lineRule="auto"/>
        <w:rPr>
          <w:rFonts w:ascii="Arial" w:hAnsi="Arial" w:cs="Arial"/>
          <w:sz w:val="22"/>
          <w:szCs w:val="22"/>
          <w:lang w:val="en-US"/>
        </w:rPr>
      </w:pPr>
      <w:r w:rsidRPr="00FA4E48">
        <w:rPr>
          <w:rFonts w:ascii="Arial" w:hAnsi="Arial" w:cs="Arial"/>
          <w:sz w:val="22"/>
          <w:szCs w:val="22"/>
          <w:lang w:val="en-US"/>
        </w:rPr>
        <w:t>Leading or advising on digital operations or innovation.</w:t>
      </w:r>
    </w:p>
    <w:p w14:paraId="4B51066D" w14:textId="77777777" w:rsidR="00FA4E48" w:rsidRDefault="00FA4E48" w:rsidP="00FA4E48">
      <w:pPr>
        <w:pStyle w:val="ListParagraph"/>
        <w:numPr>
          <w:ilvl w:val="0"/>
          <w:numId w:val="9"/>
        </w:numPr>
        <w:spacing w:after="0" w:line="276" w:lineRule="auto"/>
        <w:rPr>
          <w:rFonts w:ascii="Arial" w:hAnsi="Arial" w:cs="Arial"/>
          <w:sz w:val="22"/>
          <w:szCs w:val="22"/>
          <w:lang w:val="en-US"/>
        </w:rPr>
      </w:pPr>
      <w:r w:rsidRPr="00FA4E48">
        <w:rPr>
          <w:rFonts w:ascii="Arial" w:hAnsi="Arial" w:cs="Arial"/>
          <w:sz w:val="22"/>
          <w:szCs w:val="22"/>
          <w:lang w:val="en-US"/>
        </w:rPr>
        <w:t>Experience in technology</w:t>
      </w:r>
      <w:r w:rsidRPr="00FA4E48">
        <w:rPr>
          <w:rFonts w:ascii="Cambria Math" w:hAnsi="Cambria Math" w:cs="Cambria Math"/>
          <w:sz w:val="22"/>
          <w:szCs w:val="22"/>
          <w:lang w:val="en-US"/>
        </w:rPr>
        <w:t>‑</w:t>
      </w:r>
      <w:r w:rsidRPr="00FA4E48">
        <w:rPr>
          <w:rFonts w:ascii="Arial" w:hAnsi="Arial" w:cs="Arial"/>
          <w:sz w:val="22"/>
          <w:szCs w:val="22"/>
          <w:lang w:val="en-US"/>
        </w:rPr>
        <w:t xml:space="preserve">driven </w:t>
      </w:r>
      <w:proofErr w:type="spellStart"/>
      <w:r w:rsidRPr="00FA4E48">
        <w:rPr>
          <w:rFonts w:ascii="Arial" w:hAnsi="Arial" w:cs="Arial"/>
          <w:sz w:val="22"/>
          <w:szCs w:val="22"/>
          <w:lang w:val="en-US"/>
        </w:rPr>
        <w:t>organisational</w:t>
      </w:r>
      <w:proofErr w:type="spellEnd"/>
      <w:r w:rsidRPr="00FA4E48">
        <w:rPr>
          <w:rFonts w:ascii="Arial" w:hAnsi="Arial" w:cs="Arial"/>
          <w:sz w:val="22"/>
          <w:szCs w:val="22"/>
          <w:lang w:val="en-US"/>
        </w:rPr>
        <w:t xml:space="preserve"> development.</w:t>
      </w:r>
    </w:p>
    <w:p w14:paraId="2640670D" w14:textId="77777777" w:rsidR="00AC4DC1" w:rsidRPr="00AC4DC1" w:rsidRDefault="00AC4DC1" w:rsidP="00AC4DC1">
      <w:pPr>
        <w:pStyle w:val="ListParagraph"/>
        <w:numPr>
          <w:ilvl w:val="0"/>
          <w:numId w:val="9"/>
        </w:numPr>
        <w:spacing w:after="0" w:line="276" w:lineRule="auto"/>
        <w:rPr>
          <w:rFonts w:ascii="Arial" w:hAnsi="Arial" w:cs="Arial"/>
          <w:sz w:val="22"/>
          <w:szCs w:val="22"/>
          <w:lang w:val="en-US"/>
        </w:rPr>
      </w:pPr>
      <w:r w:rsidRPr="00AC4DC1">
        <w:rPr>
          <w:rFonts w:ascii="Arial" w:hAnsi="Arial" w:cs="Arial"/>
          <w:sz w:val="22"/>
          <w:szCs w:val="22"/>
          <w:lang w:val="en-US"/>
        </w:rPr>
        <w:t>Governance experience relating to AI assurance, AI governance frameworks or oversight of algorithmic risk.</w:t>
      </w:r>
    </w:p>
    <w:p w14:paraId="0FBE36BE" w14:textId="77777777" w:rsidR="00AC4DC1" w:rsidRPr="00AC4DC1" w:rsidRDefault="00AC4DC1" w:rsidP="00AC4DC1">
      <w:pPr>
        <w:pStyle w:val="ListParagraph"/>
        <w:numPr>
          <w:ilvl w:val="0"/>
          <w:numId w:val="9"/>
        </w:numPr>
        <w:spacing w:after="0" w:line="276" w:lineRule="auto"/>
        <w:rPr>
          <w:rFonts w:ascii="Arial" w:hAnsi="Arial" w:cs="Arial"/>
          <w:sz w:val="22"/>
          <w:szCs w:val="22"/>
          <w:lang w:val="en-US"/>
        </w:rPr>
      </w:pPr>
      <w:r w:rsidRPr="00AC4DC1">
        <w:rPr>
          <w:rFonts w:ascii="Arial" w:hAnsi="Arial" w:cs="Arial"/>
          <w:sz w:val="22"/>
          <w:szCs w:val="22"/>
          <w:lang w:val="en-US"/>
        </w:rPr>
        <w:t>Experience designing, implementing or overseeing cyber governance or enterprise</w:t>
      </w:r>
      <w:r w:rsidRPr="00AC4DC1">
        <w:rPr>
          <w:rFonts w:ascii="Cambria Math" w:hAnsi="Cambria Math" w:cs="Cambria Math"/>
          <w:sz w:val="22"/>
          <w:szCs w:val="22"/>
          <w:lang w:val="en-US"/>
        </w:rPr>
        <w:t>‑</w:t>
      </w:r>
      <w:r w:rsidRPr="00AC4DC1">
        <w:rPr>
          <w:rFonts w:ascii="Arial" w:hAnsi="Arial" w:cs="Arial"/>
          <w:sz w:val="22"/>
          <w:szCs w:val="22"/>
          <w:lang w:val="en-US"/>
        </w:rPr>
        <w:t>level cyber risk frameworks.</w:t>
      </w:r>
    </w:p>
    <w:p w14:paraId="0F46C269" w14:textId="77777777" w:rsidR="00AC4DC1" w:rsidRPr="00AC4DC1" w:rsidRDefault="00AC4DC1" w:rsidP="00AC4DC1">
      <w:pPr>
        <w:pStyle w:val="ListParagraph"/>
        <w:numPr>
          <w:ilvl w:val="0"/>
          <w:numId w:val="9"/>
        </w:numPr>
        <w:spacing w:after="0" w:line="276" w:lineRule="auto"/>
        <w:rPr>
          <w:rFonts w:ascii="Arial" w:hAnsi="Arial" w:cs="Arial"/>
          <w:sz w:val="22"/>
          <w:szCs w:val="22"/>
          <w:lang w:val="en-US"/>
        </w:rPr>
      </w:pPr>
      <w:r w:rsidRPr="00AC4DC1">
        <w:rPr>
          <w:rFonts w:ascii="Arial" w:hAnsi="Arial" w:cs="Arial"/>
          <w:sz w:val="22"/>
          <w:szCs w:val="22"/>
          <w:lang w:val="en-US"/>
        </w:rPr>
        <w:t>Roles involving IT governance responsibilities, including oversight of IT strategy, systems resilience, information architecture or digital risk management.</w:t>
      </w:r>
    </w:p>
    <w:p w14:paraId="7152F81C" w14:textId="289CF024" w:rsidR="002A51C2" w:rsidRDefault="00AC4DC1" w:rsidP="00AC4DC1">
      <w:pPr>
        <w:pStyle w:val="ListParagraph"/>
        <w:numPr>
          <w:ilvl w:val="0"/>
          <w:numId w:val="9"/>
        </w:numPr>
        <w:spacing w:after="0" w:line="276" w:lineRule="auto"/>
        <w:rPr>
          <w:rFonts w:ascii="Arial" w:hAnsi="Arial" w:cs="Arial"/>
          <w:sz w:val="22"/>
          <w:szCs w:val="22"/>
          <w:lang w:val="en-US"/>
        </w:rPr>
      </w:pPr>
      <w:r w:rsidRPr="00AC4DC1">
        <w:rPr>
          <w:rFonts w:ascii="Arial" w:hAnsi="Arial" w:cs="Arial"/>
          <w:sz w:val="22"/>
          <w:szCs w:val="22"/>
          <w:lang w:val="en-US"/>
        </w:rPr>
        <w:t>Experience contributing to technology oversight within audit, risk, compliance or board committees, even where this did not involve leading a discrete “project”.</w:t>
      </w:r>
    </w:p>
    <w:p w14:paraId="20E28777" w14:textId="77777777" w:rsidR="00FA4E48" w:rsidRPr="00FA4E48" w:rsidRDefault="00FA4E48" w:rsidP="00FA4E48">
      <w:pPr>
        <w:pStyle w:val="ListParagraph"/>
        <w:spacing w:after="0" w:line="276" w:lineRule="auto"/>
        <w:rPr>
          <w:rFonts w:ascii="Arial" w:hAnsi="Arial" w:cs="Arial"/>
          <w:sz w:val="22"/>
          <w:szCs w:val="22"/>
          <w:lang w:val="en-US"/>
        </w:rPr>
      </w:pPr>
    </w:p>
    <w:p w14:paraId="0F84509E" w14:textId="77777777"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NomRemCo will assess whether the Candidate:</w:t>
      </w:r>
    </w:p>
    <w:p w14:paraId="47E4C22E" w14:textId="77777777" w:rsidR="00FA4E48" w:rsidRPr="00FA4E48" w:rsidRDefault="00FA4E48" w:rsidP="00FA4E48">
      <w:pPr>
        <w:spacing w:after="0" w:line="276" w:lineRule="auto"/>
        <w:rPr>
          <w:rFonts w:ascii="Arial" w:hAnsi="Arial" w:cs="Arial"/>
          <w:sz w:val="22"/>
          <w:szCs w:val="22"/>
          <w:lang w:val="en-US"/>
        </w:rPr>
      </w:pPr>
    </w:p>
    <w:p w14:paraId="6DCE5991" w14:textId="77777777" w:rsidR="00FA4E48" w:rsidRPr="00FA4E48" w:rsidRDefault="00FA4E48" w:rsidP="00FA4E48">
      <w:pPr>
        <w:pStyle w:val="ListParagraph"/>
        <w:numPr>
          <w:ilvl w:val="0"/>
          <w:numId w:val="1"/>
        </w:numPr>
        <w:spacing w:after="0" w:line="276" w:lineRule="auto"/>
        <w:rPr>
          <w:rFonts w:ascii="Arial" w:hAnsi="Arial" w:cs="Arial"/>
          <w:sz w:val="22"/>
          <w:szCs w:val="22"/>
          <w:lang w:val="en-US"/>
        </w:rPr>
      </w:pPr>
      <w:r w:rsidRPr="00FA4E48">
        <w:rPr>
          <w:rFonts w:ascii="Arial" w:hAnsi="Arial" w:cs="Arial"/>
          <w:sz w:val="22"/>
          <w:szCs w:val="22"/>
          <w:lang w:val="en-US"/>
        </w:rPr>
        <w:t xml:space="preserve">has contributed to </w:t>
      </w:r>
      <w:proofErr w:type="gramStart"/>
      <w:r w:rsidRPr="00FA4E48">
        <w:rPr>
          <w:rFonts w:ascii="Arial" w:hAnsi="Arial" w:cs="Arial"/>
          <w:sz w:val="22"/>
          <w:szCs w:val="22"/>
          <w:lang w:val="en-US"/>
        </w:rPr>
        <w:t>or</w:t>
      </w:r>
      <w:proofErr w:type="gramEnd"/>
      <w:r w:rsidRPr="00FA4E48">
        <w:rPr>
          <w:rFonts w:ascii="Arial" w:hAnsi="Arial" w:cs="Arial"/>
          <w:sz w:val="22"/>
          <w:szCs w:val="22"/>
          <w:lang w:val="en-US"/>
        </w:rPr>
        <w:t xml:space="preserve"> governed digital or technology </w:t>
      </w:r>
      <w:proofErr w:type="gramStart"/>
      <w:r w:rsidRPr="00FA4E48">
        <w:rPr>
          <w:rFonts w:ascii="Arial" w:hAnsi="Arial" w:cs="Arial"/>
          <w:sz w:val="22"/>
          <w:szCs w:val="22"/>
          <w:lang w:val="en-US"/>
        </w:rPr>
        <w:t>projects;</w:t>
      </w:r>
      <w:proofErr w:type="gramEnd"/>
    </w:p>
    <w:p w14:paraId="204F0936" w14:textId="77777777" w:rsidR="00FA4E48" w:rsidRPr="00FA4E48" w:rsidRDefault="00FA4E48" w:rsidP="00FA4E48">
      <w:pPr>
        <w:pStyle w:val="ListParagraph"/>
        <w:numPr>
          <w:ilvl w:val="0"/>
          <w:numId w:val="1"/>
        </w:numPr>
        <w:spacing w:after="0" w:line="276" w:lineRule="auto"/>
        <w:rPr>
          <w:rFonts w:ascii="Arial" w:hAnsi="Arial" w:cs="Arial"/>
          <w:sz w:val="22"/>
          <w:szCs w:val="22"/>
          <w:lang w:val="en-US"/>
        </w:rPr>
      </w:pPr>
      <w:r w:rsidRPr="00FA4E48">
        <w:rPr>
          <w:rFonts w:ascii="Arial" w:hAnsi="Arial" w:cs="Arial"/>
          <w:sz w:val="22"/>
          <w:szCs w:val="22"/>
          <w:lang w:val="en-US"/>
        </w:rPr>
        <w:t xml:space="preserve">demonstrates the ability to provide informed oversight of digital risk and </w:t>
      </w:r>
      <w:proofErr w:type="gramStart"/>
      <w:r w:rsidRPr="00FA4E48">
        <w:rPr>
          <w:rFonts w:ascii="Arial" w:hAnsi="Arial" w:cs="Arial"/>
          <w:sz w:val="22"/>
          <w:szCs w:val="22"/>
          <w:lang w:val="en-US"/>
        </w:rPr>
        <w:t>opportunity;</w:t>
      </w:r>
      <w:proofErr w:type="gramEnd"/>
    </w:p>
    <w:p w14:paraId="13212813" w14:textId="77777777" w:rsidR="00FA4E48" w:rsidRPr="00FA4E48" w:rsidRDefault="00FA4E48" w:rsidP="00FA4E48">
      <w:pPr>
        <w:pStyle w:val="ListParagraph"/>
        <w:numPr>
          <w:ilvl w:val="0"/>
          <w:numId w:val="1"/>
        </w:numPr>
        <w:spacing w:after="0" w:line="276" w:lineRule="auto"/>
        <w:rPr>
          <w:rFonts w:ascii="Arial" w:hAnsi="Arial" w:cs="Arial"/>
          <w:sz w:val="22"/>
          <w:szCs w:val="22"/>
          <w:lang w:val="en-US"/>
        </w:rPr>
      </w:pPr>
      <w:r w:rsidRPr="00FA4E48">
        <w:rPr>
          <w:rFonts w:ascii="Arial" w:hAnsi="Arial" w:cs="Arial"/>
          <w:sz w:val="22"/>
          <w:szCs w:val="22"/>
          <w:lang w:val="en-US"/>
        </w:rPr>
        <w:t xml:space="preserve">understands technological trends relevant to governance </w:t>
      </w:r>
      <w:proofErr w:type="gramStart"/>
      <w:r w:rsidRPr="00FA4E48">
        <w:rPr>
          <w:rFonts w:ascii="Arial" w:hAnsi="Arial" w:cs="Arial"/>
          <w:sz w:val="22"/>
          <w:szCs w:val="22"/>
          <w:lang w:val="en-US"/>
        </w:rPr>
        <w:t>practice;</w:t>
      </w:r>
      <w:proofErr w:type="gramEnd"/>
    </w:p>
    <w:p w14:paraId="7A0B1101" w14:textId="77777777" w:rsidR="00FA4E48" w:rsidRDefault="00FA4E48" w:rsidP="00FA4E48">
      <w:pPr>
        <w:pStyle w:val="ListParagraph"/>
        <w:numPr>
          <w:ilvl w:val="0"/>
          <w:numId w:val="1"/>
        </w:numPr>
        <w:spacing w:after="0" w:line="276" w:lineRule="auto"/>
        <w:rPr>
          <w:rFonts w:ascii="Arial" w:hAnsi="Arial" w:cs="Arial"/>
          <w:sz w:val="22"/>
          <w:szCs w:val="22"/>
          <w:lang w:val="en-US"/>
        </w:rPr>
      </w:pPr>
      <w:proofErr w:type="gramStart"/>
      <w:r w:rsidRPr="00FA4E48">
        <w:rPr>
          <w:rFonts w:ascii="Arial" w:hAnsi="Arial" w:cs="Arial"/>
          <w:sz w:val="22"/>
          <w:szCs w:val="22"/>
          <w:lang w:val="en-US"/>
        </w:rPr>
        <w:t>can materially</w:t>
      </w:r>
      <w:proofErr w:type="gramEnd"/>
      <w:r w:rsidRPr="00FA4E48">
        <w:rPr>
          <w:rFonts w:ascii="Arial" w:hAnsi="Arial" w:cs="Arial"/>
          <w:sz w:val="22"/>
          <w:szCs w:val="22"/>
          <w:lang w:val="en-US"/>
        </w:rPr>
        <w:t xml:space="preserve"> strengthen the Board’s collective capability in this area.</w:t>
      </w:r>
    </w:p>
    <w:p w14:paraId="76496902" w14:textId="77777777" w:rsidR="00FA4E48" w:rsidRDefault="00FA4E48" w:rsidP="00AC4DC1">
      <w:pPr>
        <w:spacing w:after="0" w:line="276" w:lineRule="auto"/>
        <w:rPr>
          <w:rFonts w:ascii="Arial" w:hAnsi="Arial" w:cs="Arial"/>
          <w:sz w:val="22"/>
          <w:szCs w:val="22"/>
          <w:lang w:val="en-US"/>
        </w:rPr>
      </w:pPr>
    </w:p>
    <w:p w14:paraId="017093A2" w14:textId="77777777" w:rsidR="00AC4DC1" w:rsidRPr="00AC4DC1" w:rsidRDefault="00AC4DC1" w:rsidP="00AC4DC1">
      <w:pPr>
        <w:spacing w:after="0" w:line="276" w:lineRule="auto"/>
        <w:rPr>
          <w:rFonts w:ascii="Arial" w:hAnsi="Arial" w:cs="Arial"/>
          <w:sz w:val="22"/>
          <w:szCs w:val="22"/>
        </w:rPr>
      </w:pPr>
      <w:r w:rsidRPr="00AC4DC1">
        <w:rPr>
          <w:rFonts w:ascii="Arial" w:hAnsi="Arial" w:cs="Arial"/>
          <w:sz w:val="22"/>
          <w:szCs w:val="22"/>
        </w:rPr>
        <w:t xml:space="preserve">NomRemCo will also recognise candidates whose experience arises from governance oversight roles rather than direct project delivery, ensuring that broader strategic and supervisory responsibilities in digital, AI or cyber domains are fully </w:t>
      </w:r>
      <w:proofErr w:type="gramStart"/>
      <w:r w:rsidRPr="00AC4DC1">
        <w:rPr>
          <w:rFonts w:ascii="Arial" w:hAnsi="Arial" w:cs="Arial"/>
          <w:sz w:val="22"/>
          <w:szCs w:val="22"/>
        </w:rPr>
        <w:t>taken into account</w:t>
      </w:r>
      <w:proofErr w:type="gramEnd"/>
      <w:r w:rsidRPr="00AC4DC1">
        <w:rPr>
          <w:rFonts w:ascii="Arial" w:hAnsi="Arial" w:cs="Arial"/>
          <w:sz w:val="22"/>
          <w:szCs w:val="22"/>
        </w:rPr>
        <w:t>.</w:t>
      </w:r>
    </w:p>
    <w:p w14:paraId="63BCAB6D" w14:textId="77777777" w:rsidR="00AC4DC1" w:rsidRPr="00AC4DC1" w:rsidRDefault="00AC4DC1" w:rsidP="00AC4DC1">
      <w:pPr>
        <w:spacing w:after="0" w:line="276" w:lineRule="auto"/>
        <w:rPr>
          <w:rFonts w:ascii="Arial" w:hAnsi="Arial" w:cs="Arial"/>
          <w:sz w:val="22"/>
          <w:szCs w:val="22"/>
        </w:rPr>
      </w:pPr>
    </w:p>
    <w:p w14:paraId="5133872D" w14:textId="73519EC9"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b/>
          <w:bCs/>
          <w:sz w:val="22"/>
          <w:szCs w:val="22"/>
          <w:lang w:val="en-US"/>
        </w:rPr>
        <w:t>Secondary Assessment Criterion - Branding / Communications</w:t>
      </w:r>
    </w:p>
    <w:p w14:paraId="1AC89E3D" w14:textId="1D6B5491" w:rsidR="009749FA" w:rsidRP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Brand, communications and stakeholder engagement remain strategically important, particularly in supporting CGIUKI’s visibility, external influence and Member engagement.</w:t>
      </w:r>
    </w:p>
    <w:p w14:paraId="550A2EC5" w14:textId="77777777" w:rsidR="00DA37F6" w:rsidRDefault="00DA37F6" w:rsidP="00FA4E48">
      <w:pPr>
        <w:spacing w:after="0" w:line="276" w:lineRule="auto"/>
        <w:rPr>
          <w:rFonts w:ascii="Arial" w:hAnsi="Arial" w:cs="Arial"/>
          <w:sz w:val="22"/>
          <w:szCs w:val="22"/>
          <w:lang w:val="en-US"/>
        </w:rPr>
      </w:pPr>
    </w:p>
    <w:p w14:paraId="5EBA2683" w14:textId="77777777" w:rsidR="00DA37F6" w:rsidRDefault="00DA37F6" w:rsidP="00FA4E48">
      <w:pPr>
        <w:spacing w:after="0" w:line="276" w:lineRule="auto"/>
        <w:rPr>
          <w:rFonts w:ascii="Arial" w:hAnsi="Arial" w:cs="Arial"/>
          <w:sz w:val="22"/>
          <w:szCs w:val="22"/>
          <w:lang w:val="en-US"/>
        </w:rPr>
      </w:pPr>
    </w:p>
    <w:p w14:paraId="1847A5BB" w14:textId="58240E64" w:rsidR="00FA4E48" w:rsidRDefault="00DA37F6" w:rsidP="00FA4E48">
      <w:pPr>
        <w:spacing w:after="0" w:line="276" w:lineRule="auto"/>
        <w:rPr>
          <w:rFonts w:ascii="Arial" w:hAnsi="Arial" w:cs="Arial"/>
          <w:sz w:val="22"/>
          <w:szCs w:val="22"/>
          <w:lang w:val="en-US"/>
        </w:rPr>
      </w:pPr>
      <w:r>
        <w:rPr>
          <w:rFonts w:ascii="Arial" w:hAnsi="Arial" w:cs="Arial"/>
          <w:sz w:val="22"/>
          <w:szCs w:val="22"/>
          <w:lang w:val="en-US"/>
        </w:rPr>
        <w:lastRenderedPageBreak/>
        <w:t>E</w:t>
      </w:r>
      <w:r w:rsidR="00FA4E48" w:rsidRPr="00FA4E48">
        <w:rPr>
          <w:rFonts w:ascii="Arial" w:hAnsi="Arial" w:cs="Arial"/>
          <w:sz w:val="22"/>
          <w:szCs w:val="22"/>
          <w:lang w:val="en-US"/>
        </w:rPr>
        <w:t>xamples of Relevant Experience</w:t>
      </w:r>
      <w:r w:rsidR="009749FA">
        <w:rPr>
          <w:rFonts w:ascii="Arial" w:hAnsi="Arial" w:cs="Arial"/>
          <w:sz w:val="22"/>
          <w:szCs w:val="22"/>
          <w:lang w:val="en-US"/>
        </w:rPr>
        <w:t>:</w:t>
      </w:r>
    </w:p>
    <w:p w14:paraId="2730AF17" w14:textId="77777777" w:rsidR="00AA0380" w:rsidRPr="00FA4E48" w:rsidRDefault="00AA0380" w:rsidP="00FA4E48">
      <w:pPr>
        <w:spacing w:after="0" w:line="276" w:lineRule="auto"/>
        <w:rPr>
          <w:rFonts w:ascii="Arial" w:hAnsi="Arial" w:cs="Arial"/>
          <w:sz w:val="22"/>
          <w:szCs w:val="22"/>
          <w:lang w:val="en-US"/>
        </w:rPr>
      </w:pPr>
    </w:p>
    <w:p w14:paraId="18F89B92" w14:textId="77777777" w:rsidR="00FA4E48" w:rsidRPr="00FA4E48" w:rsidRDefault="00FA4E48" w:rsidP="00FA4E48">
      <w:pPr>
        <w:pStyle w:val="ListParagraph"/>
        <w:numPr>
          <w:ilvl w:val="0"/>
          <w:numId w:val="2"/>
        </w:numPr>
        <w:spacing w:after="0" w:line="276" w:lineRule="auto"/>
        <w:rPr>
          <w:rFonts w:ascii="Arial" w:hAnsi="Arial" w:cs="Arial"/>
          <w:sz w:val="22"/>
          <w:szCs w:val="22"/>
          <w:lang w:val="en-US"/>
        </w:rPr>
      </w:pPr>
      <w:r w:rsidRPr="00FA4E48">
        <w:rPr>
          <w:rFonts w:ascii="Arial" w:hAnsi="Arial" w:cs="Arial"/>
          <w:sz w:val="22"/>
          <w:szCs w:val="22"/>
          <w:lang w:val="en-US"/>
        </w:rPr>
        <w:t xml:space="preserve">Strategic brand management or </w:t>
      </w:r>
      <w:proofErr w:type="spellStart"/>
      <w:r w:rsidRPr="00FA4E48">
        <w:rPr>
          <w:rFonts w:ascii="Arial" w:hAnsi="Arial" w:cs="Arial"/>
          <w:sz w:val="22"/>
          <w:szCs w:val="22"/>
          <w:lang w:val="en-US"/>
        </w:rPr>
        <w:t>organisational</w:t>
      </w:r>
      <w:proofErr w:type="spellEnd"/>
      <w:r w:rsidRPr="00FA4E48">
        <w:rPr>
          <w:rFonts w:ascii="Arial" w:hAnsi="Arial" w:cs="Arial"/>
          <w:sz w:val="22"/>
          <w:szCs w:val="22"/>
          <w:lang w:val="en-US"/>
        </w:rPr>
        <w:t xml:space="preserve"> reputation work.</w:t>
      </w:r>
    </w:p>
    <w:p w14:paraId="1474FA25" w14:textId="77777777" w:rsidR="00FA4E48" w:rsidRPr="00FA4E48" w:rsidRDefault="00FA4E48" w:rsidP="00FA4E48">
      <w:pPr>
        <w:pStyle w:val="ListParagraph"/>
        <w:numPr>
          <w:ilvl w:val="0"/>
          <w:numId w:val="2"/>
        </w:numPr>
        <w:spacing w:after="0" w:line="276" w:lineRule="auto"/>
        <w:rPr>
          <w:rFonts w:ascii="Arial" w:hAnsi="Arial" w:cs="Arial"/>
          <w:sz w:val="22"/>
          <w:szCs w:val="22"/>
          <w:lang w:val="fr-FR"/>
        </w:rPr>
      </w:pPr>
      <w:r w:rsidRPr="00FA4E48">
        <w:rPr>
          <w:rFonts w:ascii="Arial" w:hAnsi="Arial" w:cs="Arial"/>
          <w:sz w:val="22"/>
          <w:szCs w:val="22"/>
          <w:lang w:val="fr-FR"/>
        </w:rPr>
        <w:t xml:space="preserve">Communications, media relations, PR or public </w:t>
      </w:r>
      <w:proofErr w:type="spellStart"/>
      <w:r w:rsidRPr="00FA4E48">
        <w:rPr>
          <w:rFonts w:ascii="Arial" w:hAnsi="Arial" w:cs="Arial"/>
          <w:sz w:val="22"/>
          <w:szCs w:val="22"/>
          <w:lang w:val="fr-FR"/>
        </w:rPr>
        <w:t>affairs</w:t>
      </w:r>
      <w:proofErr w:type="spellEnd"/>
      <w:r w:rsidRPr="00FA4E48">
        <w:rPr>
          <w:rFonts w:ascii="Arial" w:hAnsi="Arial" w:cs="Arial"/>
          <w:sz w:val="22"/>
          <w:szCs w:val="22"/>
          <w:lang w:val="fr-FR"/>
        </w:rPr>
        <w:t xml:space="preserve"> </w:t>
      </w:r>
      <w:proofErr w:type="spellStart"/>
      <w:r w:rsidRPr="00FA4E48">
        <w:rPr>
          <w:rFonts w:ascii="Arial" w:hAnsi="Arial" w:cs="Arial"/>
          <w:sz w:val="22"/>
          <w:szCs w:val="22"/>
          <w:lang w:val="fr-FR"/>
        </w:rPr>
        <w:t>roles</w:t>
      </w:r>
      <w:proofErr w:type="spellEnd"/>
      <w:r w:rsidRPr="00FA4E48">
        <w:rPr>
          <w:rFonts w:ascii="Arial" w:hAnsi="Arial" w:cs="Arial"/>
          <w:sz w:val="22"/>
          <w:szCs w:val="22"/>
          <w:lang w:val="fr-FR"/>
        </w:rPr>
        <w:t>.</w:t>
      </w:r>
    </w:p>
    <w:p w14:paraId="66AD2991" w14:textId="77777777" w:rsidR="00FA4E48" w:rsidRPr="00FA4E48" w:rsidRDefault="00FA4E48" w:rsidP="00FA4E48">
      <w:pPr>
        <w:pStyle w:val="ListParagraph"/>
        <w:numPr>
          <w:ilvl w:val="0"/>
          <w:numId w:val="2"/>
        </w:numPr>
        <w:spacing w:after="0" w:line="276" w:lineRule="auto"/>
        <w:rPr>
          <w:rFonts w:ascii="Arial" w:hAnsi="Arial" w:cs="Arial"/>
          <w:sz w:val="22"/>
          <w:szCs w:val="22"/>
          <w:lang w:val="en-US"/>
        </w:rPr>
      </w:pPr>
      <w:r w:rsidRPr="00FA4E48">
        <w:rPr>
          <w:rFonts w:ascii="Arial" w:hAnsi="Arial" w:cs="Arial"/>
          <w:sz w:val="22"/>
          <w:szCs w:val="22"/>
          <w:lang w:val="en-US"/>
        </w:rPr>
        <w:t>External stakeholder or sector</w:t>
      </w:r>
      <w:r w:rsidRPr="00FA4E48">
        <w:rPr>
          <w:rFonts w:ascii="Cambria Math" w:hAnsi="Cambria Math" w:cs="Cambria Math"/>
          <w:sz w:val="22"/>
          <w:szCs w:val="22"/>
          <w:lang w:val="en-US"/>
        </w:rPr>
        <w:t>‑</w:t>
      </w:r>
      <w:r w:rsidRPr="00FA4E48">
        <w:rPr>
          <w:rFonts w:ascii="Arial" w:hAnsi="Arial" w:cs="Arial"/>
          <w:sz w:val="22"/>
          <w:szCs w:val="22"/>
          <w:lang w:val="en-US"/>
        </w:rPr>
        <w:t>wide engagement.</w:t>
      </w:r>
    </w:p>
    <w:p w14:paraId="1C208E7F" w14:textId="77777777" w:rsidR="00FA4E48" w:rsidRDefault="00FA4E48" w:rsidP="00FA4E48">
      <w:pPr>
        <w:pStyle w:val="ListParagraph"/>
        <w:numPr>
          <w:ilvl w:val="0"/>
          <w:numId w:val="2"/>
        </w:numPr>
        <w:spacing w:after="0" w:line="276" w:lineRule="auto"/>
        <w:rPr>
          <w:rFonts w:ascii="Arial" w:hAnsi="Arial" w:cs="Arial"/>
          <w:sz w:val="22"/>
          <w:szCs w:val="22"/>
          <w:lang w:val="en-US"/>
        </w:rPr>
      </w:pPr>
      <w:r w:rsidRPr="00FA4E48">
        <w:rPr>
          <w:rFonts w:ascii="Arial" w:hAnsi="Arial" w:cs="Arial"/>
          <w:sz w:val="22"/>
          <w:szCs w:val="22"/>
          <w:lang w:val="en-US"/>
        </w:rPr>
        <w:t>Representational experience with professional or regulatory bodies.</w:t>
      </w:r>
    </w:p>
    <w:p w14:paraId="30A2DF19" w14:textId="77777777" w:rsidR="003F56F6" w:rsidRDefault="003F56F6" w:rsidP="003F56F6">
      <w:pPr>
        <w:pStyle w:val="ListParagraph"/>
        <w:spacing w:after="0" w:line="276" w:lineRule="auto"/>
        <w:rPr>
          <w:rFonts w:ascii="Arial" w:hAnsi="Arial" w:cs="Arial"/>
          <w:sz w:val="22"/>
          <w:szCs w:val="22"/>
          <w:lang w:val="en-US"/>
        </w:rPr>
      </w:pPr>
    </w:p>
    <w:p w14:paraId="350273F4" w14:textId="77777777"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NomRemCo will assess whether the Candidate:</w:t>
      </w:r>
    </w:p>
    <w:p w14:paraId="00FE3B40" w14:textId="77777777" w:rsidR="009749FA" w:rsidRPr="00FA4E48" w:rsidRDefault="009749FA" w:rsidP="00FA4E48">
      <w:pPr>
        <w:spacing w:after="0" w:line="276" w:lineRule="auto"/>
        <w:rPr>
          <w:rFonts w:ascii="Arial" w:hAnsi="Arial" w:cs="Arial"/>
          <w:sz w:val="22"/>
          <w:szCs w:val="22"/>
          <w:lang w:val="en-US"/>
        </w:rPr>
      </w:pPr>
    </w:p>
    <w:p w14:paraId="0C3A9204" w14:textId="77777777" w:rsidR="00FA4E48" w:rsidRPr="00FA4E48" w:rsidRDefault="00FA4E48" w:rsidP="00FA4E48">
      <w:pPr>
        <w:pStyle w:val="ListParagraph"/>
        <w:numPr>
          <w:ilvl w:val="0"/>
          <w:numId w:val="3"/>
        </w:numPr>
        <w:spacing w:after="0" w:line="276" w:lineRule="auto"/>
        <w:rPr>
          <w:rFonts w:ascii="Arial" w:hAnsi="Arial" w:cs="Arial"/>
          <w:sz w:val="22"/>
          <w:szCs w:val="22"/>
          <w:lang w:val="en-US"/>
        </w:rPr>
      </w:pPr>
      <w:r w:rsidRPr="00FA4E48">
        <w:rPr>
          <w:rFonts w:ascii="Arial" w:hAnsi="Arial" w:cs="Arial"/>
          <w:sz w:val="22"/>
          <w:szCs w:val="22"/>
          <w:lang w:val="en-US"/>
        </w:rPr>
        <w:t xml:space="preserve">demonstrates experience shaping or delivering brand or communication </w:t>
      </w:r>
      <w:proofErr w:type="gramStart"/>
      <w:r w:rsidRPr="00FA4E48">
        <w:rPr>
          <w:rFonts w:ascii="Arial" w:hAnsi="Arial" w:cs="Arial"/>
          <w:sz w:val="22"/>
          <w:szCs w:val="22"/>
          <w:lang w:val="en-US"/>
        </w:rPr>
        <w:t>strategies;</w:t>
      </w:r>
      <w:proofErr w:type="gramEnd"/>
    </w:p>
    <w:p w14:paraId="3E005162" w14:textId="77777777" w:rsidR="00FA4E48" w:rsidRPr="00FA4E48" w:rsidRDefault="00FA4E48" w:rsidP="00FA4E48">
      <w:pPr>
        <w:pStyle w:val="ListParagraph"/>
        <w:numPr>
          <w:ilvl w:val="0"/>
          <w:numId w:val="3"/>
        </w:numPr>
        <w:spacing w:after="0" w:line="276" w:lineRule="auto"/>
        <w:rPr>
          <w:rFonts w:ascii="Arial" w:hAnsi="Arial" w:cs="Arial"/>
          <w:sz w:val="22"/>
          <w:szCs w:val="22"/>
          <w:lang w:val="en-US"/>
        </w:rPr>
      </w:pPr>
      <w:r w:rsidRPr="00FA4E48">
        <w:rPr>
          <w:rFonts w:ascii="Arial" w:hAnsi="Arial" w:cs="Arial"/>
          <w:sz w:val="22"/>
          <w:szCs w:val="22"/>
          <w:lang w:val="en-US"/>
        </w:rPr>
        <w:t xml:space="preserve">can represent CGIUKI confidently with Members and external </w:t>
      </w:r>
      <w:proofErr w:type="gramStart"/>
      <w:r w:rsidRPr="00FA4E48">
        <w:rPr>
          <w:rFonts w:ascii="Arial" w:hAnsi="Arial" w:cs="Arial"/>
          <w:sz w:val="22"/>
          <w:szCs w:val="22"/>
          <w:lang w:val="en-US"/>
        </w:rPr>
        <w:t>audiences;</w:t>
      </w:r>
      <w:proofErr w:type="gramEnd"/>
    </w:p>
    <w:p w14:paraId="2D3F03B4" w14:textId="77777777" w:rsidR="00FA4E48" w:rsidRPr="00FA4E48" w:rsidRDefault="00FA4E48" w:rsidP="00FA4E48">
      <w:pPr>
        <w:pStyle w:val="ListParagraph"/>
        <w:numPr>
          <w:ilvl w:val="0"/>
          <w:numId w:val="3"/>
        </w:numPr>
        <w:spacing w:after="0" w:line="276" w:lineRule="auto"/>
        <w:rPr>
          <w:rFonts w:ascii="Arial" w:hAnsi="Arial" w:cs="Arial"/>
          <w:sz w:val="22"/>
          <w:szCs w:val="22"/>
          <w:lang w:val="en-US"/>
        </w:rPr>
      </w:pPr>
      <w:r w:rsidRPr="00FA4E48">
        <w:rPr>
          <w:rFonts w:ascii="Arial" w:hAnsi="Arial" w:cs="Arial"/>
          <w:sz w:val="22"/>
          <w:szCs w:val="22"/>
          <w:lang w:val="en-US"/>
        </w:rPr>
        <w:t xml:space="preserve">brings insight into reputation management or professional </w:t>
      </w:r>
      <w:proofErr w:type="gramStart"/>
      <w:r w:rsidRPr="00FA4E48">
        <w:rPr>
          <w:rFonts w:ascii="Arial" w:hAnsi="Arial" w:cs="Arial"/>
          <w:sz w:val="22"/>
          <w:szCs w:val="22"/>
          <w:lang w:val="en-US"/>
        </w:rPr>
        <w:t>influence;</w:t>
      </w:r>
      <w:proofErr w:type="gramEnd"/>
    </w:p>
    <w:p w14:paraId="657DE7D4" w14:textId="77777777" w:rsidR="00FA4E48" w:rsidRDefault="00FA4E48" w:rsidP="00FA4E48">
      <w:pPr>
        <w:pStyle w:val="ListParagraph"/>
        <w:numPr>
          <w:ilvl w:val="0"/>
          <w:numId w:val="3"/>
        </w:numPr>
        <w:spacing w:after="0" w:line="276" w:lineRule="auto"/>
        <w:rPr>
          <w:rFonts w:ascii="Arial" w:hAnsi="Arial" w:cs="Arial"/>
          <w:sz w:val="22"/>
          <w:szCs w:val="22"/>
          <w:lang w:val="en-US"/>
        </w:rPr>
      </w:pPr>
      <w:r w:rsidRPr="00FA4E48">
        <w:rPr>
          <w:rFonts w:ascii="Arial" w:hAnsi="Arial" w:cs="Arial"/>
          <w:sz w:val="22"/>
          <w:szCs w:val="22"/>
          <w:lang w:val="en-US"/>
        </w:rPr>
        <w:t>enhances the Board’s outward</w:t>
      </w:r>
      <w:r w:rsidRPr="00FA4E48">
        <w:rPr>
          <w:rFonts w:ascii="Cambria Math" w:hAnsi="Cambria Math" w:cs="Cambria Math"/>
          <w:sz w:val="22"/>
          <w:szCs w:val="22"/>
          <w:lang w:val="en-US"/>
        </w:rPr>
        <w:t>‑</w:t>
      </w:r>
      <w:r w:rsidRPr="00FA4E48">
        <w:rPr>
          <w:rFonts w:ascii="Arial" w:hAnsi="Arial" w:cs="Arial"/>
          <w:sz w:val="22"/>
          <w:szCs w:val="22"/>
          <w:lang w:val="en-US"/>
        </w:rPr>
        <w:t>facing capability.</w:t>
      </w:r>
    </w:p>
    <w:p w14:paraId="42973933" w14:textId="77777777" w:rsidR="009749FA" w:rsidRPr="009749FA" w:rsidRDefault="009749FA" w:rsidP="009749FA">
      <w:pPr>
        <w:spacing w:after="0" w:line="276" w:lineRule="auto"/>
        <w:rPr>
          <w:rFonts w:ascii="Arial" w:hAnsi="Arial" w:cs="Arial"/>
          <w:sz w:val="22"/>
          <w:szCs w:val="22"/>
          <w:lang w:val="en-US"/>
        </w:rPr>
      </w:pPr>
    </w:p>
    <w:p w14:paraId="3E235A0F" w14:textId="5F8854EB"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b/>
          <w:bCs/>
          <w:sz w:val="22"/>
          <w:szCs w:val="22"/>
          <w:lang w:val="en-US"/>
        </w:rPr>
        <w:t>Desirable Attribute</w:t>
      </w:r>
      <w:r w:rsidR="00435F8B">
        <w:rPr>
          <w:rFonts w:ascii="Arial" w:hAnsi="Arial" w:cs="Arial"/>
          <w:b/>
          <w:bCs/>
          <w:sz w:val="22"/>
          <w:szCs w:val="22"/>
          <w:lang w:val="en-US"/>
        </w:rPr>
        <w:t xml:space="preserve"> </w:t>
      </w:r>
      <w:r w:rsidR="001E7176">
        <w:rPr>
          <w:rFonts w:ascii="Arial" w:hAnsi="Arial" w:cs="Arial"/>
          <w:b/>
          <w:bCs/>
          <w:sz w:val="22"/>
          <w:szCs w:val="22"/>
          <w:lang w:val="en-US"/>
        </w:rPr>
        <w:t>–</w:t>
      </w:r>
      <w:r w:rsidR="009749FA">
        <w:rPr>
          <w:rFonts w:ascii="Arial" w:hAnsi="Arial" w:cs="Arial"/>
          <w:b/>
          <w:bCs/>
          <w:sz w:val="22"/>
          <w:szCs w:val="22"/>
          <w:lang w:val="en-US"/>
        </w:rPr>
        <w:t xml:space="preserve"> </w:t>
      </w:r>
      <w:r w:rsidRPr="009749FA">
        <w:rPr>
          <w:rFonts w:ascii="Arial" w:hAnsi="Arial" w:cs="Arial"/>
          <w:b/>
          <w:bCs/>
          <w:sz w:val="22"/>
          <w:szCs w:val="22"/>
          <w:lang w:val="en-US"/>
        </w:rPr>
        <w:t>Early</w:t>
      </w:r>
      <w:r w:rsidR="001E7176">
        <w:rPr>
          <w:rFonts w:ascii="Arial" w:hAnsi="Arial" w:cs="Arial"/>
          <w:b/>
          <w:bCs/>
          <w:sz w:val="22"/>
          <w:szCs w:val="22"/>
          <w:lang w:val="en-US"/>
        </w:rPr>
        <w:t>/Mid</w:t>
      </w:r>
      <w:r w:rsidRPr="009749FA">
        <w:rPr>
          <w:rFonts w:ascii="Cambria Math" w:hAnsi="Cambria Math" w:cs="Cambria Math"/>
          <w:b/>
          <w:bCs/>
          <w:sz w:val="22"/>
          <w:szCs w:val="22"/>
          <w:lang w:val="en-US"/>
        </w:rPr>
        <w:t>‑</w:t>
      </w:r>
      <w:r w:rsidRPr="009749FA">
        <w:rPr>
          <w:rFonts w:ascii="Arial" w:hAnsi="Arial" w:cs="Arial"/>
          <w:b/>
          <w:bCs/>
          <w:sz w:val="22"/>
          <w:szCs w:val="22"/>
          <w:lang w:val="en-US"/>
        </w:rPr>
        <w:t>Career Professional</w:t>
      </w:r>
    </w:p>
    <w:p w14:paraId="3716FBC8" w14:textId="77777777"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 xml:space="preserve">To widen access and </w:t>
      </w:r>
      <w:proofErr w:type="gramStart"/>
      <w:r w:rsidRPr="00FA4E48">
        <w:rPr>
          <w:rFonts w:ascii="Arial" w:hAnsi="Arial" w:cs="Arial"/>
          <w:sz w:val="22"/>
          <w:szCs w:val="22"/>
          <w:lang w:val="en-US"/>
        </w:rPr>
        <w:t>future</w:t>
      </w:r>
      <w:r w:rsidRPr="00FA4E48">
        <w:rPr>
          <w:rFonts w:ascii="Cambria Math" w:hAnsi="Cambria Math" w:cs="Cambria Math"/>
          <w:sz w:val="22"/>
          <w:szCs w:val="22"/>
          <w:lang w:val="en-US"/>
        </w:rPr>
        <w:t>‑</w:t>
      </w:r>
      <w:r w:rsidRPr="00FA4E48">
        <w:rPr>
          <w:rFonts w:ascii="Arial" w:hAnsi="Arial" w:cs="Arial"/>
          <w:sz w:val="22"/>
          <w:szCs w:val="22"/>
          <w:lang w:val="en-US"/>
        </w:rPr>
        <w:t>proof</w:t>
      </w:r>
      <w:proofErr w:type="gramEnd"/>
      <w:r w:rsidRPr="00FA4E48">
        <w:rPr>
          <w:rFonts w:ascii="Arial" w:hAnsi="Arial" w:cs="Arial"/>
          <w:sz w:val="22"/>
          <w:szCs w:val="22"/>
          <w:lang w:val="en-US"/>
        </w:rPr>
        <w:t xml:space="preserve"> the talent pipeline, early</w:t>
      </w:r>
      <w:r w:rsidRPr="00FA4E48">
        <w:rPr>
          <w:rFonts w:ascii="Cambria Math" w:hAnsi="Cambria Math" w:cs="Cambria Math"/>
          <w:sz w:val="22"/>
          <w:szCs w:val="22"/>
          <w:lang w:val="en-US"/>
        </w:rPr>
        <w:t>‑</w:t>
      </w:r>
      <w:r w:rsidRPr="00FA4E48">
        <w:rPr>
          <w:rFonts w:ascii="Arial" w:hAnsi="Arial" w:cs="Arial"/>
          <w:sz w:val="22"/>
          <w:szCs w:val="22"/>
          <w:lang w:val="en-US"/>
        </w:rPr>
        <w:t>career professionals are encouraged to stand for Board election.</w:t>
      </w:r>
    </w:p>
    <w:p w14:paraId="612AB4DC" w14:textId="77777777" w:rsidR="009749FA" w:rsidRPr="00FA4E48" w:rsidRDefault="009749FA" w:rsidP="00FA4E48">
      <w:pPr>
        <w:spacing w:after="0" w:line="276" w:lineRule="auto"/>
        <w:rPr>
          <w:rFonts w:ascii="Arial" w:hAnsi="Arial" w:cs="Arial"/>
          <w:sz w:val="22"/>
          <w:szCs w:val="22"/>
          <w:lang w:val="en-US"/>
        </w:rPr>
      </w:pPr>
    </w:p>
    <w:p w14:paraId="52429629" w14:textId="77777777"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NomRemCo will assess whether the Candidate:</w:t>
      </w:r>
    </w:p>
    <w:p w14:paraId="66CA19CB" w14:textId="77777777" w:rsidR="009749FA" w:rsidRPr="00FA4E48" w:rsidRDefault="009749FA" w:rsidP="00FA4E48">
      <w:pPr>
        <w:spacing w:after="0" w:line="276" w:lineRule="auto"/>
        <w:rPr>
          <w:rFonts w:ascii="Arial" w:hAnsi="Arial" w:cs="Arial"/>
          <w:sz w:val="22"/>
          <w:szCs w:val="22"/>
          <w:lang w:val="en-US"/>
        </w:rPr>
      </w:pPr>
    </w:p>
    <w:p w14:paraId="6E610C18" w14:textId="77777777" w:rsidR="00FA4E48" w:rsidRPr="00FA4E48" w:rsidRDefault="00FA4E48" w:rsidP="00FA4E48">
      <w:pPr>
        <w:pStyle w:val="ListParagraph"/>
        <w:numPr>
          <w:ilvl w:val="0"/>
          <w:numId w:val="4"/>
        </w:numPr>
        <w:spacing w:after="0" w:line="276" w:lineRule="auto"/>
        <w:rPr>
          <w:rFonts w:ascii="Arial" w:hAnsi="Arial" w:cs="Arial"/>
          <w:sz w:val="22"/>
          <w:szCs w:val="22"/>
          <w:lang w:val="en-US"/>
        </w:rPr>
      </w:pPr>
      <w:r w:rsidRPr="00FA4E48">
        <w:rPr>
          <w:rFonts w:ascii="Arial" w:hAnsi="Arial" w:cs="Arial"/>
          <w:sz w:val="22"/>
          <w:szCs w:val="22"/>
          <w:lang w:val="en-US"/>
        </w:rPr>
        <w:t xml:space="preserve">demonstrates strong potential for strategic </w:t>
      </w:r>
      <w:proofErr w:type="gramStart"/>
      <w:r w:rsidRPr="00FA4E48">
        <w:rPr>
          <w:rFonts w:ascii="Arial" w:hAnsi="Arial" w:cs="Arial"/>
          <w:sz w:val="22"/>
          <w:szCs w:val="22"/>
          <w:lang w:val="en-US"/>
        </w:rPr>
        <w:t>contribution;</w:t>
      </w:r>
      <w:proofErr w:type="gramEnd"/>
    </w:p>
    <w:p w14:paraId="1C19D53B" w14:textId="77777777" w:rsidR="00FA4E48" w:rsidRPr="00FA4E48" w:rsidRDefault="00FA4E48" w:rsidP="00FA4E48">
      <w:pPr>
        <w:pStyle w:val="ListParagraph"/>
        <w:numPr>
          <w:ilvl w:val="0"/>
          <w:numId w:val="4"/>
        </w:numPr>
        <w:spacing w:after="0" w:line="276" w:lineRule="auto"/>
        <w:rPr>
          <w:rFonts w:ascii="Arial" w:hAnsi="Arial" w:cs="Arial"/>
          <w:sz w:val="22"/>
          <w:szCs w:val="22"/>
          <w:lang w:val="en-US"/>
        </w:rPr>
      </w:pPr>
      <w:r w:rsidRPr="00FA4E48">
        <w:rPr>
          <w:rFonts w:ascii="Arial" w:hAnsi="Arial" w:cs="Arial"/>
          <w:sz w:val="22"/>
          <w:szCs w:val="22"/>
          <w:lang w:val="en-US"/>
        </w:rPr>
        <w:t xml:space="preserve">shows commitment to governance </w:t>
      </w:r>
      <w:proofErr w:type="gramStart"/>
      <w:r w:rsidRPr="00FA4E48">
        <w:rPr>
          <w:rFonts w:ascii="Arial" w:hAnsi="Arial" w:cs="Arial"/>
          <w:sz w:val="22"/>
          <w:szCs w:val="22"/>
          <w:lang w:val="en-US"/>
        </w:rPr>
        <w:t>development;</w:t>
      </w:r>
      <w:proofErr w:type="gramEnd"/>
    </w:p>
    <w:p w14:paraId="2615EA1D" w14:textId="77777777" w:rsidR="00FA4E48" w:rsidRPr="00FA4E48" w:rsidRDefault="00FA4E48" w:rsidP="00FA4E48">
      <w:pPr>
        <w:pStyle w:val="ListParagraph"/>
        <w:numPr>
          <w:ilvl w:val="0"/>
          <w:numId w:val="4"/>
        </w:numPr>
        <w:spacing w:after="0" w:line="276" w:lineRule="auto"/>
        <w:rPr>
          <w:rFonts w:ascii="Arial" w:hAnsi="Arial" w:cs="Arial"/>
          <w:sz w:val="22"/>
          <w:szCs w:val="22"/>
          <w:lang w:val="en-US"/>
        </w:rPr>
      </w:pPr>
      <w:r w:rsidRPr="00FA4E48">
        <w:rPr>
          <w:rFonts w:ascii="Arial" w:hAnsi="Arial" w:cs="Arial"/>
          <w:sz w:val="22"/>
          <w:szCs w:val="22"/>
          <w:lang w:val="en-US"/>
        </w:rPr>
        <w:t xml:space="preserve">brings contemporary perspectives that strengthen the </w:t>
      </w:r>
      <w:proofErr w:type="gramStart"/>
      <w:r w:rsidRPr="00FA4E48">
        <w:rPr>
          <w:rFonts w:ascii="Arial" w:hAnsi="Arial" w:cs="Arial"/>
          <w:sz w:val="22"/>
          <w:szCs w:val="22"/>
          <w:lang w:val="en-US"/>
        </w:rPr>
        <w:t>Board;</w:t>
      </w:r>
      <w:proofErr w:type="gramEnd"/>
    </w:p>
    <w:p w14:paraId="31C31E6C" w14:textId="34FEED5A" w:rsidR="00FA4E48" w:rsidRDefault="00FA4E48" w:rsidP="00FA4E48">
      <w:pPr>
        <w:pStyle w:val="ListParagraph"/>
        <w:numPr>
          <w:ilvl w:val="0"/>
          <w:numId w:val="4"/>
        </w:numPr>
        <w:spacing w:after="0" w:line="276" w:lineRule="auto"/>
        <w:rPr>
          <w:rFonts w:ascii="Arial" w:hAnsi="Arial" w:cs="Arial"/>
          <w:sz w:val="22"/>
          <w:szCs w:val="22"/>
          <w:lang w:val="en-US"/>
        </w:rPr>
      </w:pPr>
      <w:r w:rsidRPr="00FA4E48">
        <w:rPr>
          <w:rFonts w:ascii="Arial" w:hAnsi="Arial" w:cs="Arial"/>
          <w:sz w:val="22"/>
          <w:szCs w:val="22"/>
          <w:lang w:val="en-US"/>
        </w:rPr>
        <w:t>aligns sufficiently with the primary and</w:t>
      </w:r>
      <w:r w:rsidR="008D49E0">
        <w:rPr>
          <w:rFonts w:ascii="Arial" w:hAnsi="Arial" w:cs="Arial"/>
          <w:sz w:val="22"/>
          <w:szCs w:val="22"/>
          <w:lang w:val="en-US"/>
        </w:rPr>
        <w:t>/or</w:t>
      </w:r>
      <w:r w:rsidRPr="00FA4E48">
        <w:rPr>
          <w:rFonts w:ascii="Arial" w:hAnsi="Arial" w:cs="Arial"/>
          <w:sz w:val="22"/>
          <w:szCs w:val="22"/>
          <w:lang w:val="en-US"/>
        </w:rPr>
        <w:t xml:space="preserve"> secondary criteria.</w:t>
      </w:r>
    </w:p>
    <w:p w14:paraId="7F305C9B" w14:textId="77777777" w:rsidR="008D49E0" w:rsidRDefault="008D49E0" w:rsidP="008D49E0">
      <w:pPr>
        <w:spacing w:after="0" w:line="276" w:lineRule="auto"/>
        <w:rPr>
          <w:rFonts w:ascii="Arial" w:hAnsi="Arial" w:cs="Arial"/>
          <w:sz w:val="22"/>
          <w:szCs w:val="22"/>
          <w:lang w:val="en-US"/>
        </w:rPr>
      </w:pPr>
    </w:p>
    <w:p w14:paraId="6DCE625F" w14:textId="77777777" w:rsidR="00571EBD" w:rsidRPr="00571EBD" w:rsidRDefault="008D49E0" w:rsidP="00571EBD">
      <w:pPr>
        <w:spacing w:after="0" w:line="276" w:lineRule="auto"/>
        <w:rPr>
          <w:rFonts w:ascii="Arial" w:hAnsi="Arial" w:cs="Arial"/>
          <w:b/>
          <w:bCs/>
          <w:sz w:val="22"/>
          <w:szCs w:val="22"/>
        </w:rPr>
      </w:pPr>
      <w:r w:rsidRPr="008D49E0">
        <w:rPr>
          <w:rFonts w:ascii="Arial" w:hAnsi="Arial" w:cs="Arial"/>
          <w:b/>
          <w:bCs/>
          <w:sz w:val="22"/>
          <w:szCs w:val="22"/>
          <w:lang w:val="en-US"/>
        </w:rPr>
        <w:t xml:space="preserve">Desirable Attribute – </w:t>
      </w:r>
      <w:r w:rsidR="00571EBD" w:rsidRPr="00571EBD">
        <w:rPr>
          <w:rFonts w:ascii="Arial" w:hAnsi="Arial" w:cs="Arial"/>
          <w:b/>
          <w:bCs/>
          <w:sz w:val="22"/>
          <w:szCs w:val="22"/>
        </w:rPr>
        <w:t>Non</w:t>
      </w:r>
      <w:r w:rsidR="00571EBD" w:rsidRPr="00571EBD">
        <w:rPr>
          <w:rFonts w:ascii="Arial" w:hAnsi="Arial" w:cs="Arial"/>
          <w:b/>
          <w:bCs/>
          <w:sz w:val="22"/>
          <w:szCs w:val="22"/>
        </w:rPr>
        <w:noBreakHyphen/>
        <w:t>Executive Board / Trustee / Committee Experience</w:t>
      </w:r>
    </w:p>
    <w:p w14:paraId="68A6E792" w14:textId="77777777" w:rsidR="000D3E62" w:rsidRDefault="000D3E62" w:rsidP="000D3E62">
      <w:pPr>
        <w:spacing w:after="0" w:line="276" w:lineRule="auto"/>
        <w:rPr>
          <w:rFonts w:ascii="Arial" w:hAnsi="Arial" w:cs="Arial"/>
          <w:sz w:val="22"/>
          <w:szCs w:val="22"/>
        </w:rPr>
      </w:pPr>
      <w:r w:rsidRPr="000D3E62">
        <w:rPr>
          <w:rFonts w:ascii="Arial" w:hAnsi="Arial" w:cs="Arial"/>
          <w:sz w:val="22"/>
          <w:szCs w:val="22"/>
        </w:rPr>
        <w:t>Experience serving in a non</w:t>
      </w:r>
      <w:r w:rsidRPr="000D3E62">
        <w:rPr>
          <w:rFonts w:ascii="Arial" w:hAnsi="Arial" w:cs="Arial"/>
          <w:sz w:val="22"/>
          <w:szCs w:val="22"/>
        </w:rPr>
        <w:noBreakHyphen/>
        <w:t>executive, trustee or committee role may be beneficial in supporting effective Board operation and collective decision</w:t>
      </w:r>
      <w:r w:rsidRPr="000D3E62">
        <w:rPr>
          <w:rFonts w:ascii="Arial" w:hAnsi="Arial" w:cs="Arial"/>
          <w:sz w:val="22"/>
          <w:szCs w:val="22"/>
        </w:rPr>
        <w:noBreakHyphen/>
        <w:t>making.</w:t>
      </w:r>
    </w:p>
    <w:p w14:paraId="4BEB2A78" w14:textId="77777777" w:rsidR="000D3E62" w:rsidRPr="000D3E62" w:rsidRDefault="000D3E62" w:rsidP="000D3E62">
      <w:pPr>
        <w:spacing w:after="0" w:line="276" w:lineRule="auto"/>
        <w:rPr>
          <w:rFonts w:ascii="Arial" w:hAnsi="Arial" w:cs="Arial"/>
          <w:sz w:val="22"/>
          <w:szCs w:val="22"/>
        </w:rPr>
      </w:pPr>
    </w:p>
    <w:p w14:paraId="660EC68B" w14:textId="77777777" w:rsidR="000D3E62" w:rsidRDefault="000D3E62" w:rsidP="000D3E62">
      <w:pPr>
        <w:spacing w:after="0" w:line="276" w:lineRule="auto"/>
        <w:rPr>
          <w:rFonts w:ascii="Arial" w:hAnsi="Arial" w:cs="Arial"/>
          <w:sz w:val="22"/>
          <w:szCs w:val="22"/>
        </w:rPr>
      </w:pPr>
      <w:r w:rsidRPr="000D3E62">
        <w:rPr>
          <w:rFonts w:ascii="Arial" w:hAnsi="Arial" w:cs="Arial"/>
          <w:sz w:val="22"/>
          <w:szCs w:val="22"/>
        </w:rPr>
        <w:t>NomRemCo will assess whether the Candidate:</w:t>
      </w:r>
    </w:p>
    <w:p w14:paraId="1BE1E8FA" w14:textId="77777777" w:rsidR="000D3E62" w:rsidRPr="000D3E62" w:rsidRDefault="000D3E62" w:rsidP="000D3E62">
      <w:pPr>
        <w:spacing w:after="0" w:line="276" w:lineRule="auto"/>
        <w:rPr>
          <w:rFonts w:ascii="Arial" w:hAnsi="Arial" w:cs="Arial"/>
          <w:sz w:val="22"/>
          <w:szCs w:val="22"/>
        </w:rPr>
      </w:pPr>
    </w:p>
    <w:p w14:paraId="5FE3C206" w14:textId="77777777" w:rsidR="000D3E62" w:rsidRPr="000D3E62" w:rsidRDefault="000D3E62" w:rsidP="000D3E62">
      <w:pPr>
        <w:numPr>
          <w:ilvl w:val="0"/>
          <w:numId w:val="12"/>
        </w:numPr>
        <w:spacing w:after="0" w:line="276" w:lineRule="auto"/>
        <w:rPr>
          <w:rFonts w:ascii="Arial" w:hAnsi="Arial" w:cs="Arial"/>
          <w:sz w:val="22"/>
          <w:szCs w:val="22"/>
        </w:rPr>
      </w:pPr>
      <w:r w:rsidRPr="000D3E62">
        <w:rPr>
          <w:rFonts w:ascii="Arial" w:hAnsi="Arial" w:cs="Arial"/>
          <w:sz w:val="22"/>
          <w:szCs w:val="22"/>
        </w:rPr>
        <w:t xml:space="preserve">has experience operating within a collective governance or oversight </w:t>
      </w:r>
      <w:proofErr w:type="gramStart"/>
      <w:r w:rsidRPr="000D3E62">
        <w:rPr>
          <w:rFonts w:ascii="Arial" w:hAnsi="Arial" w:cs="Arial"/>
          <w:sz w:val="22"/>
          <w:szCs w:val="22"/>
        </w:rPr>
        <w:t>body;</w:t>
      </w:r>
      <w:proofErr w:type="gramEnd"/>
    </w:p>
    <w:p w14:paraId="3F973FDD" w14:textId="77777777" w:rsidR="000D3E62" w:rsidRPr="000D3E62" w:rsidRDefault="000D3E62" w:rsidP="000D3E62">
      <w:pPr>
        <w:numPr>
          <w:ilvl w:val="0"/>
          <w:numId w:val="12"/>
        </w:numPr>
        <w:spacing w:after="0" w:line="276" w:lineRule="auto"/>
        <w:rPr>
          <w:rFonts w:ascii="Arial" w:hAnsi="Arial" w:cs="Arial"/>
          <w:sz w:val="22"/>
          <w:szCs w:val="22"/>
        </w:rPr>
      </w:pPr>
      <w:r w:rsidRPr="000D3E62">
        <w:rPr>
          <w:rFonts w:ascii="Arial" w:hAnsi="Arial" w:cs="Arial"/>
          <w:sz w:val="22"/>
          <w:szCs w:val="22"/>
        </w:rPr>
        <w:t xml:space="preserve">demonstrates the ability to provide constructive challenge, scrutiny and </w:t>
      </w:r>
      <w:proofErr w:type="gramStart"/>
      <w:r w:rsidRPr="000D3E62">
        <w:rPr>
          <w:rFonts w:ascii="Arial" w:hAnsi="Arial" w:cs="Arial"/>
          <w:sz w:val="22"/>
          <w:szCs w:val="22"/>
        </w:rPr>
        <w:t>assurance;</w:t>
      </w:r>
      <w:proofErr w:type="gramEnd"/>
    </w:p>
    <w:p w14:paraId="2879D967" w14:textId="77777777" w:rsidR="000D3E62" w:rsidRPr="000D3E62" w:rsidRDefault="000D3E62" w:rsidP="000D3E62">
      <w:pPr>
        <w:numPr>
          <w:ilvl w:val="0"/>
          <w:numId w:val="12"/>
        </w:numPr>
        <w:spacing w:after="0" w:line="276" w:lineRule="auto"/>
        <w:rPr>
          <w:rFonts w:ascii="Arial" w:hAnsi="Arial" w:cs="Arial"/>
          <w:sz w:val="22"/>
          <w:szCs w:val="22"/>
        </w:rPr>
      </w:pPr>
      <w:r w:rsidRPr="000D3E62">
        <w:rPr>
          <w:rFonts w:ascii="Arial" w:hAnsi="Arial" w:cs="Arial"/>
          <w:sz w:val="22"/>
          <w:szCs w:val="22"/>
        </w:rPr>
        <w:t>understands the distinction between executive management and non</w:t>
      </w:r>
      <w:r w:rsidRPr="000D3E62">
        <w:rPr>
          <w:rFonts w:ascii="Arial" w:hAnsi="Arial" w:cs="Arial"/>
          <w:sz w:val="22"/>
          <w:szCs w:val="22"/>
        </w:rPr>
        <w:noBreakHyphen/>
        <w:t>executive oversight; and</w:t>
      </w:r>
    </w:p>
    <w:p w14:paraId="65960F45" w14:textId="77777777" w:rsidR="000D3E62" w:rsidRDefault="000D3E62" w:rsidP="000D3E62">
      <w:pPr>
        <w:numPr>
          <w:ilvl w:val="0"/>
          <w:numId w:val="12"/>
        </w:numPr>
        <w:spacing w:after="0" w:line="276" w:lineRule="auto"/>
        <w:rPr>
          <w:rFonts w:ascii="Arial" w:hAnsi="Arial" w:cs="Arial"/>
          <w:sz w:val="22"/>
          <w:szCs w:val="22"/>
        </w:rPr>
      </w:pPr>
      <w:r w:rsidRPr="000D3E62">
        <w:rPr>
          <w:rFonts w:ascii="Arial" w:hAnsi="Arial" w:cs="Arial"/>
          <w:sz w:val="22"/>
          <w:szCs w:val="22"/>
        </w:rPr>
        <w:t>brings insight into Board or committee</w:t>
      </w:r>
      <w:r w:rsidRPr="000D3E62">
        <w:rPr>
          <w:rFonts w:ascii="Arial" w:hAnsi="Arial" w:cs="Arial"/>
          <w:sz w:val="22"/>
          <w:szCs w:val="22"/>
        </w:rPr>
        <w:noBreakHyphen/>
        <w:t>level dynamics that would strengthen the Board’s effectiveness.</w:t>
      </w:r>
    </w:p>
    <w:p w14:paraId="358A8462" w14:textId="77777777" w:rsidR="000D3E62" w:rsidRPr="000D3E62" w:rsidRDefault="000D3E62" w:rsidP="000D3E62">
      <w:pPr>
        <w:spacing w:after="0" w:line="276" w:lineRule="auto"/>
        <w:ind w:left="720"/>
        <w:rPr>
          <w:rFonts w:ascii="Arial" w:hAnsi="Arial" w:cs="Arial"/>
          <w:sz w:val="22"/>
          <w:szCs w:val="22"/>
        </w:rPr>
      </w:pPr>
    </w:p>
    <w:p w14:paraId="48D4B583" w14:textId="4E4DA53D" w:rsidR="000D3E62" w:rsidRPr="000D3E62" w:rsidRDefault="000D3E62" w:rsidP="000D3E62">
      <w:pPr>
        <w:spacing w:after="0" w:line="276" w:lineRule="auto"/>
        <w:rPr>
          <w:rFonts w:ascii="Arial" w:hAnsi="Arial" w:cs="Arial"/>
          <w:sz w:val="22"/>
          <w:szCs w:val="22"/>
        </w:rPr>
      </w:pPr>
      <w:r w:rsidRPr="000D3E62">
        <w:rPr>
          <w:rFonts w:ascii="Arial" w:hAnsi="Arial" w:cs="Arial"/>
          <w:sz w:val="22"/>
          <w:szCs w:val="22"/>
        </w:rPr>
        <w:t>Candidates are not required to demonstrate both early/mid</w:t>
      </w:r>
      <w:r w:rsidRPr="000D3E62">
        <w:rPr>
          <w:rFonts w:ascii="Arial" w:hAnsi="Arial" w:cs="Arial"/>
          <w:sz w:val="22"/>
          <w:szCs w:val="22"/>
        </w:rPr>
        <w:noBreakHyphen/>
        <w:t>career status and non</w:t>
      </w:r>
      <w:r w:rsidRPr="000D3E62">
        <w:rPr>
          <w:rFonts w:ascii="Arial" w:hAnsi="Arial" w:cs="Arial"/>
          <w:sz w:val="22"/>
          <w:szCs w:val="22"/>
        </w:rPr>
        <w:noBreakHyphen/>
        <w:t>executive experience. These desirable attributes are alternative and</w:t>
      </w:r>
      <w:r w:rsidR="005A4CAB">
        <w:rPr>
          <w:rFonts w:ascii="Arial" w:hAnsi="Arial" w:cs="Arial"/>
          <w:sz w:val="22"/>
          <w:szCs w:val="22"/>
        </w:rPr>
        <w:t>/</w:t>
      </w:r>
      <w:r w:rsidR="000A3FC9">
        <w:rPr>
          <w:rFonts w:ascii="Arial" w:hAnsi="Arial" w:cs="Arial"/>
          <w:sz w:val="22"/>
          <w:szCs w:val="22"/>
        </w:rPr>
        <w:t>or</w:t>
      </w:r>
      <w:r w:rsidRPr="000D3E62">
        <w:rPr>
          <w:rFonts w:ascii="Arial" w:hAnsi="Arial" w:cs="Arial"/>
          <w:sz w:val="22"/>
          <w:szCs w:val="22"/>
        </w:rPr>
        <w:t xml:space="preserve"> supplementar</w:t>
      </w:r>
      <w:r w:rsidR="005A4CAB">
        <w:rPr>
          <w:rFonts w:ascii="Arial" w:hAnsi="Arial" w:cs="Arial"/>
          <w:sz w:val="22"/>
          <w:szCs w:val="22"/>
        </w:rPr>
        <w:t>y</w:t>
      </w:r>
      <w:r w:rsidR="000A3FC9">
        <w:rPr>
          <w:rFonts w:ascii="Arial" w:hAnsi="Arial" w:cs="Arial"/>
          <w:sz w:val="22"/>
          <w:szCs w:val="22"/>
        </w:rPr>
        <w:t>.</w:t>
      </w:r>
    </w:p>
    <w:p w14:paraId="77CB8C2F" w14:textId="77777777" w:rsidR="009749FA" w:rsidRPr="00FA4E48" w:rsidRDefault="009749FA" w:rsidP="009749FA">
      <w:pPr>
        <w:pStyle w:val="ListParagraph"/>
        <w:spacing w:after="0" w:line="276" w:lineRule="auto"/>
        <w:rPr>
          <w:rFonts w:ascii="Arial" w:hAnsi="Arial" w:cs="Arial"/>
          <w:sz w:val="22"/>
          <w:szCs w:val="22"/>
          <w:lang w:val="en-US"/>
        </w:rPr>
      </w:pPr>
    </w:p>
    <w:p w14:paraId="7246DEC7" w14:textId="1614789D" w:rsidR="00FA4E48" w:rsidRPr="003F56F6" w:rsidRDefault="00FA4E48" w:rsidP="003F56F6">
      <w:pPr>
        <w:pStyle w:val="ListParagraph"/>
        <w:numPr>
          <w:ilvl w:val="0"/>
          <w:numId w:val="11"/>
        </w:numPr>
        <w:spacing w:after="0" w:line="276" w:lineRule="auto"/>
        <w:rPr>
          <w:rFonts w:ascii="Arial" w:hAnsi="Arial" w:cs="Arial"/>
          <w:b/>
          <w:bCs/>
          <w:sz w:val="22"/>
          <w:szCs w:val="22"/>
          <w:lang w:val="en-US"/>
        </w:rPr>
      </w:pPr>
      <w:r w:rsidRPr="003F56F6">
        <w:rPr>
          <w:rFonts w:ascii="Arial" w:hAnsi="Arial" w:cs="Arial"/>
          <w:b/>
          <w:bCs/>
          <w:sz w:val="22"/>
          <w:szCs w:val="22"/>
          <w:lang w:val="en-US"/>
        </w:rPr>
        <w:t>General Expectations for All Candidates</w:t>
      </w:r>
    </w:p>
    <w:p w14:paraId="23DD762D" w14:textId="77777777"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All Candidates, regardless of specific skills, must demonstrate:</w:t>
      </w:r>
    </w:p>
    <w:p w14:paraId="34849CA9" w14:textId="77777777" w:rsidR="009749FA" w:rsidRPr="00FA4E48" w:rsidRDefault="009749FA" w:rsidP="00FA4E48">
      <w:pPr>
        <w:spacing w:after="0" w:line="276" w:lineRule="auto"/>
        <w:rPr>
          <w:rFonts w:ascii="Arial" w:hAnsi="Arial" w:cs="Arial"/>
          <w:sz w:val="22"/>
          <w:szCs w:val="22"/>
          <w:lang w:val="en-US"/>
        </w:rPr>
      </w:pPr>
    </w:p>
    <w:p w14:paraId="020B55D2" w14:textId="2A63E1A6"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sz w:val="22"/>
          <w:szCs w:val="22"/>
          <w:u w:val="single"/>
          <w:lang w:val="en-US"/>
        </w:rPr>
        <w:t>Governance Capability</w:t>
      </w:r>
    </w:p>
    <w:p w14:paraId="6E1317CB" w14:textId="77777777" w:rsidR="00FA4E48" w:rsidRPr="00FA4E48" w:rsidRDefault="00FA4E48" w:rsidP="00FA4E48">
      <w:pPr>
        <w:pStyle w:val="ListParagraph"/>
        <w:numPr>
          <w:ilvl w:val="0"/>
          <w:numId w:val="5"/>
        </w:numPr>
        <w:spacing w:after="0" w:line="276" w:lineRule="auto"/>
        <w:rPr>
          <w:rFonts w:ascii="Arial" w:hAnsi="Arial" w:cs="Arial"/>
          <w:sz w:val="22"/>
          <w:szCs w:val="22"/>
          <w:lang w:val="en-US"/>
        </w:rPr>
      </w:pPr>
      <w:r w:rsidRPr="00FA4E48">
        <w:rPr>
          <w:rFonts w:ascii="Arial" w:hAnsi="Arial" w:cs="Arial"/>
          <w:sz w:val="22"/>
          <w:szCs w:val="22"/>
          <w:lang w:val="en-US"/>
        </w:rPr>
        <w:t>Understanding of governance principles and professional ethics.</w:t>
      </w:r>
    </w:p>
    <w:p w14:paraId="6D84C9EF" w14:textId="77777777" w:rsidR="00FA4E48" w:rsidRPr="00FA4E48" w:rsidRDefault="00FA4E48" w:rsidP="00FA4E48">
      <w:pPr>
        <w:pStyle w:val="ListParagraph"/>
        <w:numPr>
          <w:ilvl w:val="0"/>
          <w:numId w:val="5"/>
        </w:numPr>
        <w:spacing w:after="0" w:line="276" w:lineRule="auto"/>
        <w:rPr>
          <w:rFonts w:ascii="Arial" w:hAnsi="Arial" w:cs="Arial"/>
          <w:sz w:val="22"/>
          <w:szCs w:val="22"/>
          <w:lang w:val="en-US"/>
        </w:rPr>
      </w:pPr>
      <w:r w:rsidRPr="00FA4E48">
        <w:rPr>
          <w:rFonts w:ascii="Arial" w:hAnsi="Arial" w:cs="Arial"/>
          <w:sz w:val="22"/>
          <w:szCs w:val="22"/>
          <w:lang w:val="en-US"/>
        </w:rPr>
        <w:t>Ability to contribute constructively to Board</w:t>
      </w:r>
      <w:r w:rsidRPr="00FA4E48">
        <w:rPr>
          <w:rFonts w:ascii="Cambria Math" w:hAnsi="Cambria Math" w:cs="Cambria Math"/>
          <w:sz w:val="22"/>
          <w:szCs w:val="22"/>
          <w:lang w:val="en-US"/>
        </w:rPr>
        <w:t>‑</w:t>
      </w:r>
      <w:r w:rsidRPr="00FA4E48">
        <w:rPr>
          <w:rFonts w:ascii="Arial" w:hAnsi="Arial" w:cs="Arial"/>
          <w:sz w:val="22"/>
          <w:szCs w:val="22"/>
          <w:lang w:val="en-US"/>
        </w:rPr>
        <w:t>level discussion.</w:t>
      </w:r>
    </w:p>
    <w:p w14:paraId="1A43C8D7" w14:textId="77777777" w:rsidR="00FA4E48" w:rsidRDefault="00FA4E48" w:rsidP="00FA4E48">
      <w:pPr>
        <w:pStyle w:val="ListParagraph"/>
        <w:numPr>
          <w:ilvl w:val="0"/>
          <w:numId w:val="5"/>
        </w:numPr>
        <w:spacing w:after="0" w:line="276" w:lineRule="auto"/>
        <w:rPr>
          <w:rFonts w:ascii="Arial" w:hAnsi="Arial" w:cs="Arial"/>
          <w:sz w:val="22"/>
          <w:szCs w:val="22"/>
          <w:lang w:val="en-US"/>
        </w:rPr>
      </w:pPr>
      <w:r w:rsidRPr="00FA4E48">
        <w:rPr>
          <w:rFonts w:ascii="Arial" w:hAnsi="Arial" w:cs="Arial"/>
          <w:sz w:val="22"/>
          <w:szCs w:val="22"/>
          <w:lang w:val="en-US"/>
        </w:rPr>
        <w:t>Willingness to uphold collective responsibility.</w:t>
      </w:r>
    </w:p>
    <w:p w14:paraId="299F07F6" w14:textId="77777777" w:rsidR="009749FA" w:rsidRPr="00FA4E48" w:rsidRDefault="009749FA" w:rsidP="009749FA">
      <w:pPr>
        <w:pStyle w:val="ListParagraph"/>
        <w:spacing w:after="0" w:line="276" w:lineRule="auto"/>
        <w:rPr>
          <w:rFonts w:ascii="Arial" w:hAnsi="Arial" w:cs="Arial"/>
          <w:sz w:val="22"/>
          <w:szCs w:val="22"/>
          <w:lang w:val="en-US"/>
        </w:rPr>
      </w:pPr>
    </w:p>
    <w:p w14:paraId="0BEDD67D" w14:textId="54D46323"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sz w:val="22"/>
          <w:szCs w:val="22"/>
          <w:u w:val="single"/>
          <w:lang w:val="en-US"/>
        </w:rPr>
        <w:t>Strategic Contribution</w:t>
      </w:r>
    </w:p>
    <w:p w14:paraId="3DEB1AAC" w14:textId="77777777" w:rsidR="00FA4E48" w:rsidRPr="00FA4E48" w:rsidRDefault="00FA4E48" w:rsidP="00FA4E48">
      <w:pPr>
        <w:pStyle w:val="ListParagraph"/>
        <w:numPr>
          <w:ilvl w:val="0"/>
          <w:numId w:val="6"/>
        </w:numPr>
        <w:spacing w:after="0" w:line="276" w:lineRule="auto"/>
        <w:rPr>
          <w:rFonts w:ascii="Arial" w:hAnsi="Arial" w:cs="Arial"/>
          <w:sz w:val="22"/>
          <w:szCs w:val="22"/>
          <w:lang w:val="en-US"/>
        </w:rPr>
      </w:pPr>
      <w:r w:rsidRPr="00FA4E48">
        <w:rPr>
          <w:rFonts w:ascii="Arial" w:hAnsi="Arial" w:cs="Arial"/>
          <w:sz w:val="22"/>
          <w:szCs w:val="22"/>
          <w:lang w:val="en-US"/>
        </w:rPr>
        <w:t xml:space="preserve">Ability to </w:t>
      </w:r>
      <w:proofErr w:type="spellStart"/>
      <w:r w:rsidRPr="00FA4E48">
        <w:rPr>
          <w:rFonts w:ascii="Arial" w:hAnsi="Arial" w:cs="Arial"/>
          <w:sz w:val="22"/>
          <w:szCs w:val="22"/>
          <w:lang w:val="en-US"/>
        </w:rPr>
        <w:t>analyse</w:t>
      </w:r>
      <w:proofErr w:type="spellEnd"/>
      <w:r w:rsidRPr="00FA4E48">
        <w:rPr>
          <w:rFonts w:ascii="Arial" w:hAnsi="Arial" w:cs="Arial"/>
          <w:sz w:val="22"/>
          <w:szCs w:val="22"/>
          <w:lang w:val="en-US"/>
        </w:rPr>
        <w:t xml:space="preserve"> information and identify risk, opportunity and impact.</w:t>
      </w:r>
    </w:p>
    <w:p w14:paraId="7F6B1551" w14:textId="77777777" w:rsidR="00FA4E48" w:rsidRDefault="00FA4E48" w:rsidP="00FA4E48">
      <w:pPr>
        <w:pStyle w:val="ListParagraph"/>
        <w:numPr>
          <w:ilvl w:val="0"/>
          <w:numId w:val="6"/>
        </w:numPr>
        <w:spacing w:after="0" w:line="276" w:lineRule="auto"/>
        <w:rPr>
          <w:rFonts w:ascii="Arial" w:hAnsi="Arial" w:cs="Arial"/>
          <w:sz w:val="22"/>
          <w:szCs w:val="22"/>
          <w:lang w:val="en-US"/>
        </w:rPr>
      </w:pPr>
      <w:r w:rsidRPr="00FA4E48">
        <w:rPr>
          <w:rFonts w:ascii="Arial" w:hAnsi="Arial" w:cs="Arial"/>
          <w:sz w:val="22"/>
          <w:szCs w:val="22"/>
          <w:lang w:val="en-US"/>
        </w:rPr>
        <w:t>Awareness of sector trends relevant to CGIUKI’s mission.</w:t>
      </w:r>
    </w:p>
    <w:p w14:paraId="2BB1E44D" w14:textId="77777777" w:rsidR="009749FA" w:rsidRPr="00FA4E48" w:rsidRDefault="009749FA" w:rsidP="009749FA">
      <w:pPr>
        <w:pStyle w:val="ListParagraph"/>
        <w:spacing w:after="0" w:line="276" w:lineRule="auto"/>
        <w:rPr>
          <w:rFonts w:ascii="Arial" w:hAnsi="Arial" w:cs="Arial"/>
          <w:sz w:val="22"/>
          <w:szCs w:val="22"/>
          <w:lang w:val="en-US"/>
        </w:rPr>
      </w:pPr>
    </w:p>
    <w:p w14:paraId="735AC2D1" w14:textId="72EC1AA4"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sz w:val="22"/>
          <w:szCs w:val="22"/>
          <w:u w:val="single"/>
          <w:lang w:val="en-US"/>
        </w:rPr>
        <w:t>Integrity and Conduct</w:t>
      </w:r>
    </w:p>
    <w:p w14:paraId="5CAC2426" w14:textId="77777777" w:rsidR="00FA4E48" w:rsidRPr="009749FA" w:rsidRDefault="00FA4E48" w:rsidP="009749FA">
      <w:pPr>
        <w:pStyle w:val="ListParagraph"/>
        <w:numPr>
          <w:ilvl w:val="0"/>
          <w:numId w:val="10"/>
        </w:numPr>
        <w:spacing w:after="0" w:line="276" w:lineRule="auto"/>
        <w:rPr>
          <w:rFonts w:ascii="Arial" w:hAnsi="Arial" w:cs="Arial"/>
          <w:sz w:val="22"/>
          <w:szCs w:val="22"/>
          <w:lang w:val="en-US"/>
        </w:rPr>
      </w:pPr>
      <w:r w:rsidRPr="009749FA">
        <w:rPr>
          <w:rFonts w:ascii="Arial" w:hAnsi="Arial" w:cs="Arial"/>
          <w:sz w:val="22"/>
          <w:szCs w:val="22"/>
          <w:lang w:val="en-US"/>
        </w:rPr>
        <w:t>Full adherence to no</w:t>
      </w:r>
      <w:r w:rsidRPr="009749FA">
        <w:rPr>
          <w:rFonts w:ascii="Cambria Math" w:hAnsi="Cambria Math" w:cs="Cambria Math"/>
          <w:sz w:val="22"/>
          <w:szCs w:val="22"/>
          <w:lang w:val="en-US"/>
        </w:rPr>
        <w:t>‑</w:t>
      </w:r>
      <w:r w:rsidRPr="009749FA">
        <w:rPr>
          <w:rFonts w:ascii="Arial" w:hAnsi="Arial" w:cs="Arial"/>
          <w:sz w:val="22"/>
          <w:szCs w:val="22"/>
          <w:lang w:val="en-US"/>
        </w:rPr>
        <w:t>canvassing rules.</w:t>
      </w:r>
    </w:p>
    <w:p w14:paraId="4C9E1314" w14:textId="674EBAEF" w:rsidR="009749FA" w:rsidRPr="009749FA" w:rsidRDefault="00FA4E48" w:rsidP="009749FA">
      <w:pPr>
        <w:pStyle w:val="ListParagraph"/>
        <w:numPr>
          <w:ilvl w:val="0"/>
          <w:numId w:val="10"/>
        </w:numPr>
        <w:spacing w:after="0" w:line="276" w:lineRule="auto"/>
        <w:rPr>
          <w:rFonts w:ascii="Arial" w:hAnsi="Arial" w:cs="Arial"/>
          <w:sz w:val="22"/>
          <w:szCs w:val="22"/>
          <w:lang w:val="en-US"/>
        </w:rPr>
      </w:pPr>
      <w:r w:rsidRPr="009749FA">
        <w:rPr>
          <w:rFonts w:ascii="Arial" w:hAnsi="Arial" w:cs="Arial"/>
          <w:sz w:val="22"/>
          <w:szCs w:val="22"/>
          <w:lang w:val="en-US"/>
        </w:rPr>
        <w:t>Professionalism, fairness and respect for the election process.</w:t>
      </w:r>
    </w:p>
    <w:p w14:paraId="38A7C69E" w14:textId="77777777" w:rsidR="009749FA" w:rsidRPr="00FA4E48" w:rsidRDefault="009749FA" w:rsidP="00FA4E48">
      <w:pPr>
        <w:spacing w:after="0" w:line="276" w:lineRule="auto"/>
        <w:rPr>
          <w:rFonts w:ascii="Arial" w:hAnsi="Arial" w:cs="Arial"/>
          <w:sz w:val="22"/>
          <w:szCs w:val="22"/>
          <w:lang w:val="en-US"/>
        </w:rPr>
      </w:pPr>
    </w:p>
    <w:p w14:paraId="0CFEE040" w14:textId="66C6F91E"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sz w:val="22"/>
          <w:szCs w:val="22"/>
          <w:u w:val="single"/>
          <w:lang w:val="en-US"/>
        </w:rPr>
        <w:t>Capacity and Commitment</w:t>
      </w:r>
    </w:p>
    <w:p w14:paraId="42FD393F" w14:textId="77777777" w:rsidR="00FA4E48" w:rsidRPr="00FA4E48" w:rsidRDefault="00FA4E48" w:rsidP="00FA4E48">
      <w:pPr>
        <w:pStyle w:val="ListParagraph"/>
        <w:numPr>
          <w:ilvl w:val="0"/>
          <w:numId w:val="7"/>
        </w:numPr>
        <w:spacing w:after="0" w:line="276" w:lineRule="auto"/>
        <w:rPr>
          <w:rFonts w:ascii="Arial" w:hAnsi="Arial" w:cs="Arial"/>
          <w:sz w:val="22"/>
          <w:szCs w:val="22"/>
          <w:lang w:val="en-US"/>
        </w:rPr>
      </w:pPr>
      <w:r w:rsidRPr="00FA4E48">
        <w:rPr>
          <w:rFonts w:ascii="Arial" w:hAnsi="Arial" w:cs="Arial"/>
          <w:sz w:val="22"/>
          <w:szCs w:val="22"/>
          <w:lang w:val="en-US"/>
        </w:rPr>
        <w:t>Availability to meet Board commitments, including preparation and participation.</w:t>
      </w:r>
    </w:p>
    <w:p w14:paraId="078A0EF1" w14:textId="77777777" w:rsidR="00FA4E48" w:rsidRDefault="00FA4E48" w:rsidP="00FA4E48">
      <w:pPr>
        <w:pStyle w:val="ListParagraph"/>
        <w:numPr>
          <w:ilvl w:val="0"/>
          <w:numId w:val="7"/>
        </w:numPr>
        <w:spacing w:after="0" w:line="276" w:lineRule="auto"/>
        <w:rPr>
          <w:rFonts w:ascii="Arial" w:hAnsi="Arial" w:cs="Arial"/>
          <w:sz w:val="22"/>
          <w:szCs w:val="22"/>
          <w:lang w:val="en-US"/>
        </w:rPr>
      </w:pPr>
      <w:r w:rsidRPr="00FA4E48">
        <w:rPr>
          <w:rFonts w:ascii="Arial" w:hAnsi="Arial" w:cs="Arial"/>
          <w:sz w:val="22"/>
          <w:szCs w:val="22"/>
          <w:lang w:val="en-US"/>
        </w:rPr>
        <w:t>Willingness to contribute to committees, task groups or working groups as required.</w:t>
      </w:r>
    </w:p>
    <w:p w14:paraId="766FF547" w14:textId="77777777" w:rsidR="009749FA" w:rsidRPr="00FA4E48" w:rsidRDefault="009749FA" w:rsidP="009749FA">
      <w:pPr>
        <w:pStyle w:val="ListParagraph"/>
        <w:spacing w:after="0" w:line="276" w:lineRule="auto"/>
        <w:rPr>
          <w:rFonts w:ascii="Arial" w:hAnsi="Arial" w:cs="Arial"/>
          <w:sz w:val="22"/>
          <w:szCs w:val="22"/>
          <w:lang w:val="en-US"/>
        </w:rPr>
      </w:pPr>
    </w:p>
    <w:p w14:paraId="677A2364" w14:textId="7A4FD155" w:rsidR="00FA4E48" w:rsidRPr="003F56F6" w:rsidRDefault="00FA4E48" w:rsidP="003F56F6">
      <w:pPr>
        <w:pStyle w:val="ListParagraph"/>
        <w:numPr>
          <w:ilvl w:val="0"/>
          <w:numId w:val="11"/>
        </w:numPr>
        <w:spacing w:after="0" w:line="276" w:lineRule="auto"/>
        <w:rPr>
          <w:rFonts w:ascii="Arial" w:hAnsi="Arial" w:cs="Arial"/>
          <w:b/>
          <w:bCs/>
          <w:sz w:val="22"/>
          <w:szCs w:val="22"/>
          <w:lang w:val="en-US"/>
        </w:rPr>
      </w:pPr>
      <w:r w:rsidRPr="003F56F6">
        <w:rPr>
          <w:rFonts w:ascii="Arial" w:hAnsi="Arial" w:cs="Arial"/>
          <w:b/>
          <w:bCs/>
          <w:sz w:val="22"/>
          <w:szCs w:val="22"/>
          <w:lang w:val="en-US"/>
        </w:rPr>
        <w:t xml:space="preserve">Application of the Assessment Criteria </w:t>
      </w:r>
    </w:p>
    <w:p w14:paraId="236D7136" w14:textId="77777777"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NomRemCo will assess all Candidates, including incumbents, against these Criteria to determine suitability to proceed to ballot.</w:t>
      </w:r>
    </w:p>
    <w:p w14:paraId="6408F04C" w14:textId="77777777" w:rsidR="009749FA" w:rsidRDefault="009749FA" w:rsidP="00FA4E48">
      <w:pPr>
        <w:spacing w:after="0" w:line="276" w:lineRule="auto"/>
        <w:rPr>
          <w:rFonts w:ascii="Arial" w:hAnsi="Arial" w:cs="Arial"/>
          <w:sz w:val="22"/>
          <w:szCs w:val="22"/>
          <w:lang w:val="en-US"/>
        </w:rPr>
      </w:pPr>
    </w:p>
    <w:p w14:paraId="389CF910" w14:textId="27987A2C"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sz w:val="22"/>
          <w:szCs w:val="22"/>
          <w:u w:val="single"/>
          <w:lang w:val="en-US"/>
        </w:rPr>
        <w:lastRenderedPageBreak/>
        <w:t>Weighting for 2026</w:t>
      </w:r>
    </w:p>
    <w:p w14:paraId="4F71EF9C" w14:textId="77777777" w:rsidR="00FA4E48" w:rsidRP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High weighting: Technology and/or digital skills</w:t>
      </w:r>
    </w:p>
    <w:p w14:paraId="61020D5C" w14:textId="77777777" w:rsidR="00FA4E48" w:rsidRP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Moderate weighting: Branding / communications</w:t>
      </w:r>
    </w:p>
    <w:p w14:paraId="26C76C86" w14:textId="4147F095" w:rsidR="00FA4E48" w:rsidRP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Supplementary weighting: Early</w:t>
      </w:r>
      <w:r w:rsidRPr="00FA4E48">
        <w:rPr>
          <w:rFonts w:ascii="Cambria Math" w:hAnsi="Cambria Math" w:cs="Cambria Math"/>
          <w:sz w:val="22"/>
          <w:szCs w:val="22"/>
          <w:lang w:val="en-US"/>
        </w:rPr>
        <w:t>‑</w:t>
      </w:r>
      <w:r w:rsidRPr="00FA4E48">
        <w:rPr>
          <w:rFonts w:ascii="Arial" w:hAnsi="Arial" w:cs="Arial"/>
          <w:sz w:val="22"/>
          <w:szCs w:val="22"/>
          <w:lang w:val="en-US"/>
        </w:rPr>
        <w:t>career professional attribute</w:t>
      </w:r>
      <w:r w:rsidR="00655D29">
        <w:rPr>
          <w:rFonts w:ascii="Arial" w:hAnsi="Arial" w:cs="Arial"/>
          <w:sz w:val="22"/>
          <w:szCs w:val="22"/>
          <w:lang w:val="en-US"/>
        </w:rPr>
        <w:t xml:space="preserve"> and/or non-executive governance </w:t>
      </w:r>
      <w:r w:rsidR="00E33417">
        <w:rPr>
          <w:rFonts w:ascii="Arial" w:hAnsi="Arial" w:cs="Arial"/>
          <w:sz w:val="22"/>
          <w:szCs w:val="22"/>
          <w:lang w:val="en-US"/>
        </w:rPr>
        <w:t>experience</w:t>
      </w:r>
    </w:p>
    <w:p w14:paraId="4A7CB26A" w14:textId="77777777" w:rsidR="00AA0380" w:rsidRDefault="00AA0380" w:rsidP="00FA4E48">
      <w:pPr>
        <w:spacing w:after="0" w:line="276" w:lineRule="auto"/>
        <w:rPr>
          <w:rFonts w:ascii="Arial" w:hAnsi="Arial" w:cs="Arial"/>
          <w:sz w:val="22"/>
          <w:szCs w:val="22"/>
          <w:u w:val="single"/>
          <w:lang w:val="en-US"/>
        </w:rPr>
      </w:pPr>
    </w:p>
    <w:p w14:paraId="530F5CE9" w14:textId="3F5567D2" w:rsidR="00FA4E48" w:rsidRPr="00FA4E48" w:rsidRDefault="00FA4E48" w:rsidP="00FA4E48">
      <w:pPr>
        <w:spacing w:after="0" w:line="276" w:lineRule="auto"/>
        <w:rPr>
          <w:rFonts w:ascii="Arial" w:hAnsi="Arial" w:cs="Arial"/>
          <w:sz w:val="22"/>
          <w:szCs w:val="22"/>
          <w:u w:val="single"/>
          <w:lang w:val="en-US"/>
        </w:rPr>
      </w:pPr>
      <w:r w:rsidRPr="00FA4E48">
        <w:rPr>
          <w:rFonts w:ascii="Arial" w:hAnsi="Arial" w:cs="Arial"/>
          <w:sz w:val="22"/>
          <w:szCs w:val="22"/>
          <w:u w:val="single"/>
          <w:lang w:val="en-US"/>
        </w:rPr>
        <w:t>Outcome</w:t>
      </w:r>
    </w:p>
    <w:p w14:paraId="0F6C2579" w14:textId="77777777" w:rsid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Candidates who do not meet the required standards will not proceed to ballot.</w:t>
      </w:r>
    </w:p>
    <w:p w14:paraId="4F1B90DB" w14:textId="77777777" w:rsidR="009749FA" w:rsidRPr="00FA4E48" w:rsidRDefault="009749FA" w:rsidP="00FA4E48">
      <w:pPr>
        <w:spacing w:after="0" w:line="276" w:lineRule="auto"/>
        <w:rPr>
          <w:rFonts w:ascii="Arial" w:hAnsi="Arial" w:cs="Arial"/>
          <w:sz w:val="22"/>
          <w:szCs w:val="22"/>
          <w:lang w:val="en-US"/>
        </w:rPr>
      </w:pPr>
    </w:p>
    <w:p w14:paraId="17A75C4F" w14:textId="0017867F" w:rsidR="00FA4E48" w:rsidRPr="003F56F6" w:rsidRDefault="00FA4E48" w:rsidP="003F56F6">
      <w:pPr>
        <w:pStyle w:val="ListParagraph"/>
        <w:numPr>
          <w:ilvl w:val="0"/>
          <w:numId w:val="11"/>
        </w:numPr>
        <w:spacing w:after="0" w:line="276" w:lineRule="auto"/>
        <w:rPr>
          <w:rFonts w:ascii="Arial" w:hAnsi="Arial" w:cs="Arial"/>
          <w:b/>
          <w:bCs/>
          <w:sz w:val="22"/>
          <w:szCs w:val="22"/>
          <w:lang w:val="en-US"/>
        </w:rPr>
      </w:pPr>
      <w:r w:rsidRPr="003F56F6">
        <w:rPr>
          <w:rFonts w:ascii="Arial" w:hAnsi="Arial" w:cs="Arial"/>
          <w:b/>
          <w:bCs/>
          <w:sz w:val="22"/>
          <w:szCs w:val="22"/>
          <w:lang w:val="en-US"/>
        </w:rPr>
        <w:t>Review</w:t>
      </w:r>
    </w:p>
    <w:p w14:paraId="21091FFF" w14:textId="68100E68" w:rsidR="00FA4E48" w:rsidRPr="00FA4E48" w:rsidRDefault="00FA4E48" w:rsidP="00FA4E48">
      <w:pPr>
        <w:spacing w:after="0" w:line="276" w:lineRule="auto"/>
        <w:rPr>
          <w:rFonts w:ascii="Arial" w:hAnsi="Arial" w:cs="Arial"/>
          <w:sz w:val="22"/>
          <w:szCs w:val="22"/>
          <w:lang w:val="en-US"/>
        </w:rPr>
      </w:pPr>
      <w:r w:rsidRPr="00FA4E48">
        <w:rPr>
          <w:rFonts w:ascii="Arial" w:hAnsi="Arial" w:cs="Arial"/>
          <w:sz w:val="22"/>
          <w:szCs w:val="22"/>
          <w:lang w:val="en-US"/>
        </w:rPr>
        <w:t>These Assessment Criteria apply only to the 2026 Board election cycle.</w:t>
      </w:r>
      <w:r w:rsidR="009749FA">
        <w:rPr>
          <w:rFonts w:ascii="Arial" w:hAnsi="Arial" w:cs="Arial"/>
          <w:sz w:val="22"/>
          <w:szCs w:val="22"/>
          <w:lang w:val="en-US"/>
        </w:rPr>
        <w:t xml:space="preserve"> </w:t>
      </w:r>
      <w:r w:rsidRPr="00FA4E48">
        <w:rPr>
          <w:rFonts w:ascii="Arial" w:hAnsi="Arial" w:cs="Arial"/>
          <w:sz w:val="22"/>
          <w:szCs w:val="22"/>
          <w:lang w:val="en-US"/>
        </w:rPr>
        <w:t>NomRemCo will review their effectiveness after the election and recommend updates for future election cycles.</w:t>
      </w:r>
    </w:p>
    <w:sectPr w:rsidR="00FA4E48" w:rsidRPr="00FA4E48" w:rsidSect="00AA0380">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BC7"/>
    <w:multiLevelType w:val="hybridMultilevel"/>
    <w:tmpl w:val="8CCA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275F3"/>
    <w:multiLevelType w:val="hybridMultilevel"/>
    <w:tmpl w:val="8B70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B5885"/>
    <w:multiLevelType w:val="hybridMultilevel"/>
    <w:tmpl w:val="6D9C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E6A94"/>
    <w:multiLevelType w:val="hybridMultilevel"/>
    <w:tmpl w:val="E64C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041A5"/>
    <w:multiLevelType w:val="hybridMultilevel"/>
    <w:tmpl w:val="3858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D25D5"/>
    <w:multiLevelType w:val="hybridMultilevel"/>
    <w:tmpl w:val="1F40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72A99"/>
    <w:multiLevelType w:val="multilevel"/>
    <w:tmpl w:val="4ED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32DD4"/>
    <w:multiLevelType w:val="hybridMultilevel"/>
    <w:tmpl w:val="A2F4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F6C1F"/>
    <w:multiLevelType w:val="hybridMultilevel"/>
    <w:tmpl w:val="30BAC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543969"/>
    <w:multiLevelType w:val="hybridMultilevel"/>
    <w:tmpl w:val="5E64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C5C77"/>
    <w:multiLevelType w:val="hybridMultilevel"/>
    <w:tmpl w:val="2890A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011356"/>
    <w:multiLevelType w:val="hybridMultilevel"/>
    <w:tmpl w:val="21DA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364233">
    <w:abstractNumId w:val="0"/>
  </w:num>
  <w:num w:numId="2" w16cid:durableId="1112287015">
    <w:abstractNumId w:val="5"/>
  </w:num>
  <w:num w:numId="3" w16cid:durableId="1973168421">
    <w:abstractNumId w:val="3"/>
  </w:num>
  <w:num w:numId="4" w16cid:durableId="213276561">
    <w:abstractNumId w:val="4"/>
  </w:num>
  <w:num w:numId="5" w16cid:durableId="158809672">
    <w:abstractNumId w:val="2"/>
  </w:num>
  <w:num w:numId="6" w16cid:durableId="593707308">
    <w:abstractNumId w:val="1"/>
  </w:num>
  <w:num w:numId="7" w16cid:durableId="152070663">
    <w:abstractNumId w:val="9"/>
  </w:num>
  <w:num w:numId="8" w16cid:durableId="75520571">
    <w:abstractNumId w:val="8"/>
  </w:num>
  <w:num w:numId="9" w16cid:durableId="124782291">
    <w:abstractNumId w:val="11"/>
  </w:num>
  <w:num w:numId="10" w16cid:durableId="914582316">
    <w:abstractNumId w:val="7"/>
  </w:num>
  <w:num w:numId="11" w16cid:durableId="1770546912">
    <w:abstractNumId w:val="10"/>
  </w:num>
  <w:num w:numId="12" w16cid:durableId="1820728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48"/>
    <w:rsid w:val="000A3FC9"/>
    <w:rsid w:val="000D3E62"/>
    <w:rsid w:val="001E7176"/>
    <w:rsid w:val="002A51C2"/>
    <w:rsid w:val="003F56F6"/>
    <w:rsid w:val="004324C2"/>
    <w:rsid w:val="00435F8B"/>
    <w:rsid w:val="00484EA4"/>
    <w:rsid w:val="00570A73"/>
    <w:rsid w:val="00571EBD"/>
    <w:rsid w:val="005A4CAB"/>
    <w:rsid w:val="005B372A"/>
    <w:rsid w:val="005F7AF9"/>
    <w:rsid w:val="006301DF"/>
    <w:rsid w:val="006454FC"/>
    <w:rsid w:val="00645BDB"/>
    <w:rsid w:val="006541A9"/>
    <w:rsid w:val="00655D29"/>
    <w:rsid w:val="008D49E0"/>
    <w:rsid w:val="008E7E10"/>
    <w:rsid w:val="00901DD8"/>
    <w:rsid w:val="00904145"/>
    <w:rsid w:val="009749FA"/>
    <w:rsid w:val="00AA0380"/>
    <w:rsid w:val="00AB0061"/>
    <w:rsid w:val="00AC4DC1"/>
    <w:rsid w:val="00B57E22"/>
    <w:rsid w:val="00C6249B"/>
    <w:rsid w:val="00CF2E04"/>
    <w:rsid w:val="00D735A6"/>
    <w:rsid w:val="00D95D84"/>
    <w:rsid w:val="00DA37F6"/>
    <w:rsid w:val="00E33417"/>
    <w:rsid w:val="00F95B0D"/>
    <w:rsid w:val="00FA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0C23"/>
  <w15:chartTrackingRefBased/>
  <w15:docId w15:val="{3460E618-D3A9-4710-A503-83136911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48"/>
    <w:rPr>
      <w:rFonts w:eastAsiaTheme="majorEastAsia" w:cstheme="majorBidi"/>
      <w:color w:val="272727" w:themeColor="text1" w:themeTint="D8"/>
    </w:rPr>
  </w:style>
  <w:style w:type="paragraph" w:styleId="Title">
    <w:name w:val="Title"/>
    <w:basedOn w:val="Normal"/>
    <w:next w:val="Normal"/>
    <w:link w:val="TitleChar"/>
    <w:uiPriority w:val="10"/>
    <w:qFormat/>
    <w:rsid w:val="00FA4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48"/>
    <w:pPr>
      <w:spacing w:before="160"/>
      <w:jc w:val="center"/>
    </w:pPr>
    <w:rPr>
      <w:i/>
      <w:iCs/>
      <w:color w:val="404040" w:themeColor="text1" w:themeTint="BF"/>
    </w:rPr>
  </w:style>
  <w:style w:type="character" w:customStyle="1" w:styleId="QuoteChar">
    <w:name w:val="Quote Char"/>
    <w:basedOn w:val="DefaultParagraphFont"/>
    <w:link w:val="Quote"/>
    <w:uiPriority w:val="29"/>
    <w:rsid w:val="00FA4E48"/>
    <w:rPr>
      <w:i/>
      <w:iCs/>
      <w:color w:val="404040" w:themeColor="text1" w:themeTint="BF"/>
    </w:rPr>
  </w:style>
  <w:style w:type="paragraph" w:styleId="ListParagraph">
    <w:name w:val="List Paragraph"/>
    <w:basedOn w:val="Normal"/>
    <w:uiPriority w:val="34"/>
    <w:qFormat/>
    <w:rsid w:val="00FA4E48"/>
    <w:pPr>
      <w:ind w:left="720"/>
      <w:contextualSpacing/>
    </w:pPr>
  </w:style>
  <w:style w:type="character" w:styleId="IntenseEmphasis">
    <w:name w:val="Intense Emphasis"/>
    <w:basedOn w:val="DefaultParagraphFont"/>
    <w:uiPriority w:val="21"/>
    <w:qFormat/>
    <w:rsid w:val="00FA4E48"/>
    <w:rPr>
      <w:i/>
      <w:iCs/>
      <w:color w:val="0F4761" w:themeColor="accent1" w:themeShade="BF"/>
    </w:rPr>
  </w:style>
  <w:style w:type="paragraph" w:styleId="IntenseQuote">
    <w:name w:val="Intense Quote"/>
    <w:basedOn w:val="Normal"/>
    <w:next w:val="Normal"/>
    <w:link w:val="IntenseQuoteChar"/>
    <w:uiPriority w:val="30"/>
    <w:qFormat/>
    <w:rsid w:val="00FA4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48"/>
    <w:rPr>
      <w:i/>
      <w:iCs/>
      <w:color w:val="0F4761" w:themeColor="accent1" w:themeShade="BF"/>
    </w:rPr>
  </w:style>
  <w:style w:type="character" w:styleId="IntenseReference">
    <w:name w:val="Intense Reference"/>
    <w:basedOn w:val="DefaultParagraphFont"/>
    <w:uiPriority w:val="32"/>
    <w:qFormat/>
    <w:rsid w:val="00FA4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9EECACF26084DA927E6F0295B62D5" ma:contentTypeVersion="19" ma:contentTypeDescription="Create a new document." ma:contentTypeScope="" ma:versionID="d555f2366ed0e8f673db323a6ac0b007">
  <xsd:schema xmlns:xsd="http://www.w3.org/2001/XMLSchema" xmlns:xs="http://www.w3.org/2001/XMLSchema" xmlns:p="http://schemas.microsoft.com/office/2006/metadata/properties" xmlns:ns2="0f5a749c-e5f1-473f-800d-231cf5809043" xmlns:ns3="2d19a084-79d8-4b34-a7c9-57433a191fae" targetNamespace="http://schemas.microsoft.com/office/2006/metadata/properties" ma:root="true" ma:fieldsID="4171503bb7dd21c0b04dd825c578354b" ns2:_="" ns3:_="">
    <xsd:import namespace="0f5a749c-e5f1-473f-800d-231cf5809043"/>
    <xsd:import namespace="2d19a084-79d8-4b34-a7c9-57433a191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a749c-e5f1-473f-800d-231cf5809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8e5a84-b696-4dd1-ad07-bac7d270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a084-79d8-4b34-a7c9-57433a191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f7aec-e761-4aae-b230-3e49a217e975}" ma:internalName="TaxCatchAll" ma:showField="CatchAllData" ma:web="2d19a084-79d8-4b34-a7c9-57433a191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19a084-79d8-4b34-a7c9-57433a191fae" xsi:nil="true"/>
    <lcf76f155ced4ddcb4097134ff3c332f xmlns="0f5a749c-e5f1-473f-800d-231cf58090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771893-AA55-404D-8F1F-96FCF41ED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a749c-e5f1-473f-800d-231cf5809043"/>
    <ds:schemaRef ds:uri="2d19a084-79d8-4b34-a7c9-57433a191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00816-57A7-4396-8400-84C028FB1177}">
  <ds:schemaRefs>
    <ds:schemaRef ds:uri="http://schemas.microsoft.com/sharepoint/v3/contenttype/forms"/>
  </ds:schemaRefs>
</ds:datastoreItem>
</file>

<file path=customXml/itemProps3.xml><?xml version="1.0" encoding="utf-8"?>
<ds:datastoreItem xmlns:ds="http://schemas.openxmlformats.org/officeDocument/2006/customXml" ds:itemID="{6D209A1B-985A-4F28-B15E-32617DC2CD3C}">
  <ds:schemaRefs>
    <ds:schemaRef ds:uri="http://schemas.microsoft.com/office/2006/metadata/properties"/>
    <ds:schemaRef ds:uri="http://schemas.microsoft.com/office/infopath/2007/PartnerControls"/>
    <ds:schemaRef ds:uri="2d19a084-79d8-4b34-a7c9-57433a191fae"/>
    <ds:schemaRef ds:uri="0f5a749c-e5f1-473f-800d-231cf58090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5015</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Mora-Spencer ACG</dc:creator>
  <cp:keywords/>
  <dc:description/>
  <cp:lastModifiedBy>Cynthia Mora-Spencer ACG</cp:lastModifiedBy>
  <cp:revision>26</cp:revision>
  <dcterms:created xsi:type="dcterms:W3CDTF">2026-03-06T00:15:00Z</dcterms:created>
  <dcterms:modified xsi:type="dcterms:W3CDTF">2026-03-27T14:20:00Z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0x0101005759EECACF26084DA927E6F0295B62D5</vt:lpwstr>
  </property>
  <property fmtid="{D5CDD505-2E9C-101B-9397-08002B2CF9AE}" pid="3" name="docLang">
    <vt:lpwstr>en</vt:lpwstr>
  </property>
  <property fmtid="{D5CDD505-2E9C-101B-9397-08002B2CF9AE}" pid="4" name="MediaServiceImageTags">
    <vt:lpwstr/>
  </property>
</Properties>
</file>